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4FE95" w14:textId="77777777" w:rsidR="00A95E1E" w:rsidRPr="008C5374" w:rsidRDefault="00A95E1E">
      <w:pPr>
        <w:spacing w:before="8"/>
        <w:rPr>
          <w:rFonts w:ascii="Times New Roman" w:eastAsia="Times New Roman" w:hAnsi="Times New Roman" w:cs="Times New Roman"/>
          <w:sz w:val="7"/>
          <w:szCs w:val="7"/>
        </w:rPr>
      </w:pPr>
    </w:p>
    <w:p w14:paraId="73B7679A" w14:textId="3822253D" w:rsidR="00A95E1E" w:rsidRPr="008C5374" w:rsidRDefault="00C7351A">
      <w:pPr>
        <w:spacing w:line="530" w:lineRule="exact"/>
        <w:ind w:left="108"/>
        <w:rPr>
          <w:rFonts w:ascii="Times New Roman" w:eastAsia="Times New Roman" w:hAnsi="Times New Roman" w:cs="Times New Roman"/>
          <w:sz w:val="20"/>
          <w:szCs w:val="20"/>
        </w:rPr>
      </w:pPr>
      <w:r w:rsidRPr="008C5374">
        <w:rPr>
          <w:rFonts w:ascii="Times New Roman" w:eastAsia="Times New Roman" w:hAnsi="Times New Roman" w:cs="Times New Roman"/>
          <w:sz w:val="20"/>
          <w:szCs w:val="20"/>
        </w:rPr>
      </w:r>
      <w:r w:rsidRPr="008C5374">
        <w:rPr>
          <w:rFonts w:ascii="Times New Roman" w:eastAsia="Times New Roman" w:hAnsi="Times New Roman" w:cs="Times New Roman"/>
          <w:sz w:val="20"/>
          <w:szCs w:val="20"/>
        </w:rPr>
        <w:pict w14:anchorId="0A96EE8C">
          <v:shapetype id="_x0000_t202" coordsize="21600,21600" o:spt="202" path="m,l,21600r21600,l21600,xe">
            <v:stroke joinstyle="miter"/>
            <v:path gradientshapeok="t" o:connecttype="rect"/>
          </v:shapetype>
          <v:shape id="1592" o:spid="_x0000_s2051" type="#_x0000_t202" style="width:451.4pt;height:40.05pt;mso-left-percent:-10001;mso-top-percent:-10001;mso-position-horizontal:absolute;mso-position-horizontal-relative:char;mso-position-vertical:absolute;mso-position-vertical-relative:line;mso-left-percent:-10001;mso-top-percent:-10001" fillcolor="#ded787" strokeweight=".16936mm">
            <v:textbox inset="0,0,0,0">
              <w:txbxContent>
                <w:p w14:paraId="42C00195" w14:textId="2F4CADC0" w:rsidR="00A95E1E" w:rsidRDefault="00CE11BC" w:rsidP="00D86A52">
                  <w:pPr>
                    <w:spacing w:before="18"/>
                    <w:ind w:left="849"/>
                    <w:jc w:val="center"/>
                    <w:rPr>
                      <w:rFonts w:ascii="Times New Roman" w:eastAsia="Times New Roman" w:hAnsi="Times New Roman" w:cs="Times New Roman"/>
                      <w:sz w:val="32"/>
                      <w:szCs w:val="32"/>
                    </w:rPr>
                  </w:pPr>
                  <w:r>
                    <w:rPr>
                      <w:rFonts w:ascii="Times New Roman" w:hAnsi="Times New Roman"/>
                      <w:b/>
                      <w:bCs/>
                      <w:color w:val="4F81BC"/>
                      <w:sz w:val="32"/>
                      <w:szCs w:val="32"/>
                    </w:rPr>
                    <w:t>Juhtumi stsenaarium Moodul 2</w:t>
                  </w:r>
                  <w:r w:rsidR="00D86A52">
                    <w:rPr>
                      <w:rFonts w:ascii="Times New Roman" w:hAnsi="Times New Roman"/>
                      <w:b/>
                      <w:bCs/>
                      <w:color w:val="4F81BC"/>
                      <w:sz w:val="32"/>
                      <w:szCs w:val="32"/>
                    </w:rPr>
                    <w:t xml:space="preserve"> - </w:t>
                  </w:r>
                  <w:r>
                    <w:rPr>
                      <w:rFonts w:ascii="Times New Roman" w:hAnsi="Times New Roman"/>
                      <w:b/>
                      <w:bCs/>
                      <w:color w:val="4F81BC"/>
                      <w:sz w:val="32"/>
                      <w:szCs w:val="32"/>
                    </w:rPr>
                    <w:t>E</w:t>
                  </w:r>
                  <w:r w:rsidR="00D86A52">
                    <w:rPr>
                      <w:rFonts w:ascii="Times New Roman" w:hAnsi="Times New Roman"/>
                      <w:b/>
                      <w:bCs/>
                      <w:color w:val="4F81BC"/>
                      <w:sz w:val="32"/>
                      <w:szCs w:val="32"/>
                    </w:rPr>
                    <w:t xml:space="preserve">uroopa </w:t>
                  </w:r>
                  <w:r>
                    <w:rPr>
                      <w:rFonts w:ascii="Times New Roman" w:hAnsi="Times New Roman"/>
                      <w:b/>
                      <w:bCs/>
                      <w:color w:val="4F81BC"/>
                      <w:sz w:val="32"/>
                      <w:szCs w:val="32"/>
                    </w:rPr>
                    <w:t>P</w:t>
                  </w:r>
                  <w:r w:rsidR="00D86A52">
                    <w:rPr>
                      <w:rFonts w:ascii="Times New Roman" w:hAnsi="Times New Roman"/>
                      <w:b/>
                      <w:bCs/>
                      <w:color w:val="4F81BC"/>
                      <w:sz w:val="32"/>
                      <w:szCs w:val="32"/>
                    </w:rPr>
                    <w:t>rokuratuuri</w:t>
                  </w:r>
                  <w:r>
                    <w:rPr>
                      <w:rFonts w:ascii="Times New Roman" w:hAnsi="Times New Roman"/>
                      <w:b/>
                      <w:bCs/>
                      <w:color w:val="4F81BC"/>
                      <w:sz w:val="32"/>
                      <w:szCs w:val="32"/>
                    </w:rPr>
                    <w:t xml:space="preserve"> </w:t>
                  </w:r>
                  <w:r w:rsidR="00D86A52">
                    <w:rPr>
                      <w:rFonts w:ascii="Times New Roman" w:hAnsi="Times New Roman"/>
                      <w:b/>
                      <w:bCs/>
                      <w:color w:val="4F81BC"/>
                      <w:sz w:val="32"/>
                      <w:szCs w:val="32"/>
                    </w:rPr>
                    <w:t xml:space="preserve">(EPPO) </w:t>
                  </w:r>
                  <w:r>
                    <w:rPr>
                      <w:rFonts w:ascii="Times New Roman" w:hAnsi="Times New Roman"/>
                      <w:b/>
                      <w:bCs/>
                      <w:color w:val="4F81BC"/>
                      <w:sz w:val="32"/>
                      <w:szCs w:val="32"/>
                    </w:rPr>
                    <w:t>pädevused</w:t>
                  </w:r>
                </w:p>
              </w:txbxContent>
            </v:textbox>
          </v:shape>
        </w:pict>
      </w:r>
    </w:p>
    <w:p w14:paraId="5E0E781A" w14:textId="77777777" w:rsidR="00A95E1E" w:rsidRPr="008C5374" w:rsidRDefault="00A95E1E">
      <w:pPr>
        <w:rPr>
          <w:rFonts w:ascii="Times New Roman" w:eastAsia="Times New Roman" w:hAnsi="Times New Roman" w:cs="Times New Roman"/>
          <w:sz w:val="20"/>
          <w:szCs w:val="20"/>
        </w:rPr>
      </w:pPr>
    </w:p>
    <w:p w14:paraId="6C2272B5" w14:textId="77777777" w:rsidR="00A95E1E" w:rsidRPr="008C5374" w:rsidRDefault="00A95E1E">
      <w:pPr>
        <w:spacing w:before="5"/>
        <w:rPr>
          <w:rFonts w:ascii="Times New Roman" w:eastAsia="Times New Roman" w:hAnsi="Times New Roman" w:cs="Times New Roman"/>
          <w:sz w:val="21"/>
          <w:szCs w:val="21"/>
        </w:rPr>
      </w:pPr>
    </w:p>
    <w:p w14:paraId="00976DDD" w14:textId="3A8EA771" w:rsidR="00A95E1E" w:rsidRPr="008C5374" w:rsidRDefault="00C7351A">
      <w:pPr>
        <w:spacing w:line="4807" w:lineRule="exact"/>
        <w:ind w:left="238"/>
        <w:rPr>
          <w:rFonts w:ascii="Times New Roman" w:eastAsia="Times New Roman" w:hAnsi="Times New Roman" w:cs="Times New Roman"/>
          <w:sz w:val="20"/>
          <w:szCs w:val="20"/>
        </w:rPr>
      </w:pPr>
      <w:r w:rsidRPr="008C5374">
        <w:rPr>
          <w:rFonts w:ascii="Times New Roman" w:eastAsia="Times New Roman" w:hAnsi="Times New Roman" w:cs="Times New Roman"/>
          <w:sz w:val="20"/>
          <w:szCs w:val="20"/>
        </w:rPr>
      </w:r>
      <w:r w:rsidR="00D86A52" w:rsidRPr="008C5374">
        <w:rPr>
          <w:rFonts w:ascii="Times New Roman" w:eastAsia="Times New Roman" w:hAnsi="Times New Roman" w:cs="Times New Roman"/>
          <w:sz w:val="20"/>
          <w:szCs w:val="20"/>
        </w:rPr>
        <w:pict w14:anchorId="48E78BD1">
          <v:shape id="4562" o:spid="_x0000_s2050" type="#_x0000_t202" style="width:437.6pt;height:230.65pt;mso-left-percent:-10001;mso-top-percent:-10001;mso-position-horizontal:absolute;mso-position-horizontal-relative:char;mso-position-vertical:absolute;mso-position-vertical-relative:line;mso-left-percent:-10001;mso-top-percent:-10001" filled="f" strokeweight=".16936mm">
            <v:textbox inset="0,0,0,0">
              <w:txbxContent>
                <w:p w14:paraId="1858DB71" w14:textId="77777777" w:rsidR="00A95E1E" w:rsidRPr="00D86A52" w:rsidRDefault="00CE11BC">
                  <w:pPr>
                    <w:spacing w:before="18" w:line="276" w:lineRule="auto"/>
                    <w:ind w:left="107" w:right="107"/>
                    <w:jc w:val="both"/>
                    <w:rPr>
                      <w:rFonts w:ascii="Times New Roman" w:eastAsia="Times New Roman" w:hAnsi="Times New Roman" w:cs="Times New Roman"/>
                      <w:sz w:val="24"/>
                      <w:szCs w:val="24"/>
                    </w:rPr>
                  </w:pPr>
                  <w:r w:rsidRPr="00D86A52">
                    <w:rPr>
                      <w:rFonts w:ascii="Times New Roman" w:hAnsi="Times New Roman" w:cs="Times New Roman"/>
                      <w:sz w:val="24"/>
                      <w:szCs w:val="24"/>
                    </w:rPr>
                    <w:t xml:space="preserve">Ungari </w:t>
                  </w:r>
                  <w:r w:rsidRPr="00D86A52">
                    <w:rPr>
                      <w:rFonts w:ascii="Times New Roman" w:hAnsi="Times New Roman" w:cs="Times New Roman"/>
                      <w:sz w:val="24"/>
                      <w:szCs w:val="24"/>
                    </w:rPr>
                    <w:t>ettevõtte tegevjuht X, kes on konkreetses pakkumus-/hankemenetluses osaleva konsortsiumi esindaja, võttis ühendus kahe Brüsselis asuva Euroopa Komisjoni ametnikuga. Konsortsiumi pakkumiste optimeerimiseks küsiti ELi ametnikelt, kas nad lubavad juurdepääsu teiste pakkujate konfidentsiaalsele hinnateabele ja muule delikaatsele äriteabele.</w:t>
                  </w:r>
                </w:p>
                <w:p w14:paraId="23E733A0" w14:textId="5FD5B454" w:rsidR="00A95E1E" w:rsidRPr="00D86A52" w:rsidRDefault="00CE11BC">
                  <w:pPr>
                    <w:spacing w:before="1" w:line="276" w:lineRule="auto"/>
                    <w:ind w:left="107" w:right="105"/>
                    <w:jc w:val="both"/>
                    <w:rPr>
                      <w:rFonts w:ascii="Times New Roman" w:eastAsia="Times New Roman" w:hAnsi="Times New Roman" w:cs="Times New Roman"/>
                      <w:sz w:val="24"/>
                      <w:szCs w:val="24"/>
                    </w:rPr>
                  </w:pPr>
                  <w:r w:rsidRPr="00D86A52">
                    <w:rPr>
                      <w:rFonts w:ascii="Times New Roman" w:hAnsi="Times New Roman" w:cs="Times New Roman"/>
                      <w:sz w:val="24"/>
                      <w:szCs w:val="24"/>
                    </w:rPr>
                    <w:t>Brüsseli</w:t>
                  </w:r>
                  <w:r w:rsidR="00D86A52" w:rsidRPr="00D86A52">
                    <w:rPr>
                      <w:rFonts w:ascii="Times New Roman" w:hAnsi="Times New Roman" w:cs="Times New Roman"/>
                      <w:sz w:val="24"/>
                      <w:szCs w:val="24"/>
                    </w:rPr>
                    <w:t>s</w:t>
                  </w:r>
                  <w:r w:rsidRPr="00D86A52">
                    <w:rPr>
                      <w:rFonts w:ascii="Times New Roman" w:hAnsi="Times New Roman" w:cs="Times New Roman"/>
                      <w:sz w:val="24"/>
                      <w:szCs w:val="24"/>
                    </w:rPr>
                    <w:t xml:space="preserve"> asuvad ametnikud, liikmesriikide A ja B kodanikud, olid valmis nõutud teavet jagama, küsides selle eest kumbki 20 000 eurot. Vestlused agentidega toimusid Londonis. Kohtumistel andsid A ja B nõutud teabe, andes X-ile näpunäiteid, mis võimaldasid konsortsiumil konkurendi pakkumis</w:t>
                  </w:r>
                  <w:r w:rsidR="00D86A52" w:rsidRPr="00D86A52">
                    <w:rPr>
                      <w:rFonts w:ascii="Times New Roman" w:hAnsi="Times New Roman" w:cs="Times New Roman"/>
                      <w:sz w:val="24"/>
                      <w:szCs w:val="24"/>
                    </w:rPr>
                    <w:t>es</w:t>
                  </w:r>
                  <w:r w:rsidRPr="00D86A52">
                    <w:rPr>
                      <w:rFonts w:ascii="Times New Roman" w:hAnsi="Times New Roman" w:cs="Times New Roman"/>
                      <w:sz w:val="24"/>
                      <w:szCs w:val="24"/>
                    </w:rPr>
                    <w:t>t mõnevõrra väiksem pakkumine teha. X esitas pakkumusmenetluse käigus valeväiteid ja ebaõigeid dokumente.</w:t>
                  </w:r>
                </w:p>
                <w:p w14:paraId="77B45617" w14:textId="77777777" w:rsidR="00A95E1E" w:rsidRPr="00D86A52" w:rsidRDefault="00CE11BC">
                  <w:pPr>
                    <w:spacing w:before="3" w:line="276" w:lineRule="auto"/>
                    <w:ind w:left="107" w:right="107"/>
                    <w:jc w:val="both"/>
                    <w:rPr>
                      <w:rFonts w:ascii="Times New Roman" w:eastAsia="Times New Roman" w:hAnsi="Times New Roman" w:cs="Times New Roman"/>
                      <w:sz w:val="24"/>
                      <w:szCs w:val="24"/>
                    </w:rPr>
                  </w:pPr>
                  <w:r w:rsidRPr="00D86A52">
                    <w:rPr>
                      <w:rFonts w:ascii="Times New Roman" w:hAnsi="Times New Roman" w:cs="Times New Roman"/>
                      <w:sz w:val="24"/>
                    </w:rPr>
                    <w:t>Juhtum äratas tohutut meedia ja avalikkuse tähelepanu kogu Euroopa Liidus. A ja B riiklikke prokuratuure teavitasid altkäemaksujuhtumist riiklikud meediateenused. Mõlemad liikmesriigid (A ja B) algatasid oma kodanike suhtes riikliku uurimise.</w:t>
                  </w:r>
                </w:p>
              </w:txbxContent>
            </v:textbox>
          </v:shape>
        </w:pict>
      </w:r>
    </w:p>
    <w:p w14:paraId="5B4FA23D" w14:textId="77777777" w:rsidR="00A95E1E" w:rsidRPr="008C5374" w:rsidRDefault="00A95E1E">
      <w:pPr>
        <w:spacing w:before="3"/>
        <w:rPr>
          <w:rFonts w:ascii="Times New Roman" w:eastAsia="Times New Roman" w:hAnsi="Times New Roman" w:cs="Times New Roman"/>
          <w:sz w:val="20"/>
          <w:szCs w:val="20"/>
        </w:rPr>
      </w:pPr>
    </w:p>
    <w:p w14:paraId="190FE4D1" w14:textId="77777777" w:rsidR="00A95E1E" w:rsidRPr="008C5374" w:rsidRDefault="00CE11BC">
      <w:pPr>
        <w:ind w:left="350"/>
        <w:rPr>
          <w:rFonts w:ascii="Times New Roman" w:eastAsia="Times New Roman" w:hAnsi="Times New Roman" w:cs="Times New Roman"/>
          <w:sz w:val="24"/>
          <w:szCs w:val="24"/>
        </w:rPr>
      </w:pPr>
      <w:r w:rsidRPr="008C5374">
        <w:rPr>
          <w:rFonts w:ascii="Times New Roman" w:hAnsi="Times New Roman" w:cs="Times New Roman"/>
          <w:i/>
          <w:sz w:val="24"/>
        </w:rPr>
        <w:t>Märkus koolitajale:</w:t>
      </w:r>
    </w:p>
    <w:p w14:paraId="11C9D38F" w14:textId="77777777" w:rsidR="00A95E1E" w:rsidRPr="008C5374" w:rsidRDefault="00CE11BC" w:rsidP="00D86A52">
      <w:pPr>
        <w:pStyle w:val="ListParagraph"/>
        <w:numPr>
          <w:ilvl w:val="0"/>
          <w:numId w:val="5"/>
        </w:numPr>
        <w:tabs>
          <w:tab w:val="left" w:pos="1028"/>
        </w:tabs>
        <w:spacing w:before="50" w:line="276" w:lineRule="auto"/>
        <w:ind w:right="309" w:hanging="338"/>
        <w:rPr>
          <w:rFonts w:ascii="Times New Roman" w:eastAsia="Times New Roman" w:hAnsi="Times New Roman" w:cs="Times New Roman"/>
          <w:sz w:val="24"/>
          <w:szCs w:val="24"/>
        </w:rPr>
      </w:pPr>
      <w:r w:rsidRPr="008C5374">
        <w:rPr>
          <w:rFonts w:ascii="Times New Roman" w:hAnsi="Times New Roman" w:cs="Times New Roman"/>
          <w:i/>
          <w:sz w:val="24"/>
          <w:szCs w:val="24"/>
        </w:rPr>
        <w:t>See aluseks olev stsenaarium hõlmab erinevaid liikmesriike ja jätab lahtiseks, kas A, B ja X tegevus põhjustas tõepoolest kahju ELi finantshuvidele.</w:t>
      </w:r>
    </w:p>
    <w:p w14:paraId="06C5E02E" w14:textId="77777777" w:rsidR="00A95E1E" w:rsidRPr="008C5374" w:rsidRDefault="00CE11BC" w:rsidP="00D86A52">
      <w:pPr>
        <w:pStyle w:val="ListParagraph"/>
        <w:numPr>
          <w:ilvl w:val="0"/>
          <w:numId w:val="5"/>
        </w:numPr>
        <w:tabs>
          <w:tab w:val="left" w:pos="1028"/>
        </w:tabs>
        <w:spacing w:before="3" w:line="278" w:lineRule="auto"/>
        <w:ind w:right="309" w:hanging="338"/>
        <w:rPr>
          <w:rFonts w:ascii="Times New Roman" w:eastAsia="Times New Roman" w:hAnsi="Times New Roman" w:cs="Times New Roman"/>
          <w:sz w:val="24"/>
          <w:szCs w:val="24"/>
        </w:rPr>
      </w:pPr>
      <w:r w:rsidRPr="008C5374">
        <w:rPr>
          <w:rFonts w:ascii="Times New Roman" w:hAnsi="Times New Roman" w:cs="Times New Roman"/>
          <w:i/>
          <w:sz w:val="24"/>
        </w:rPr>
        <w:t>Juhtumi stsenaarium jätab lahtiseks, kas A ja B olid valmis X-i pakkumustoimingutes vabatahtlikult aitama.</w:t>
      </w:r>
    </w:p>
    <w:p w14:paraId="70360645" w14:textId="77777777" w:rsidR="00A95E1E" w:rsidRPr="008C5374" w:rsidRDefault="00CE11BC" w:rsidP="00D86A52">
      <w:pPr>
        <w:pStyle w:val="ListParagraph"/>
        <w:numPr>
          <w:ilvl w:val="0"/>
          <w:numId w:val="5"/>
        </w:numPr>
        <w:tabs>
          <w:tab w:val="left" w:pos="1028"/>
        </w:tabs>
        <w:spacing w:before="5" w:line="276" w:lineRule="auto"/>
        <w:ind w:right="309" w:hanging="338"/>
        <w:rPr>
          <w:rFonts w:ascii="Times New Roman" w:eastAsia="Times New Roman" w:hAnsi="Times New Roman" w:cs="Times New Roman"/>
          <w:sz w:val="24"/>
          <w:szCs w:val="24"/>
        </w:rPr>
      </w:pPr>
      <w:r w:rsidRPr="008C5374">
        <w:rPr>
          <w:rFonts w:ascii="Times New Roman" w:hAnsi="Times New Roman" w:cs="Times New Roman"/>
          <w:i/>
          <w:sz w:val="24"/>
        </w:rPr>
        <w:t>Juhtumi stsenaariumis ei täpsustata, kas kulutused on hankega seotud või mitte (asjakohane 1. küsimuse puhul).</w:t>
      </w:r>
    </w:p>
    <w:p w14:paraId="639B82CB" w14:textId="77777777" w:rsidR="00A95E1E" w:rsidRPr="008C5374" w:rsidRDefault="00CE11BC" w:rsidP="00D86A52">
      <w:pPr>
        <w:pStyle w:val="ListParagraph"/>
        <w:numPr>
          <w:ilvl w:val="0"/>
          <w:numId w:val="5"/>
        </w:numPr>
        <w:tabs>
          <w:tab w:val="left" w:pos="1028"/>
        </w:tabs>
        <w:spacing w:before="10" w:line="273" w:lineRule="auto"/>
        <w:ind w:right="309" w:hanging="338"/>
        <w:rPr>
          <w:rFonts w:ascii="Times New Roman" w:eastAsia="Times New Roman" w:hAnsi="Times New Roman" w:cs="Times New Roman"/>
          <w:sz w:val="24"/>
          <w:szCs w:val="24"/>
        </w:rPr>
      </w:pPr>
      <w:r w:rsidRPr="008C5374">
        <w:rPr>
          <w:rFonts w:ascii="Times New Roman" w:hAnsi="Times New Roman" w:cs="Times New Roman"/>
          <w:i/>
          <w:sz w:val="24"/>
        </w:rPr>
        <w:t>Nimetatud liikmesriike A ja B saab muuta mis tahes osalevaks liikmesriigiks (kuid need peavad olema osalevad liikmesriigid).</w:t>
      </w:r>
    </w:p>
    <w:p w14:paraId="5FF59E27" w14:textId="77777777" w:rsidR="00A95E1E" w:rsidRPr="008C5374" w:rsidRDefault="00CE11BC" w:rsidP="00D86A52">
      <w:pPr>
        <w:pStyle w:val="ListParagraph"/>
        <w:numPr>
          <w:ilvl w:val="0"/>
          <w:numId w:val="5"/>
        </w:numPr>
        <w:tabs>
          <w:tab w:val="left" w:pos="1028"/>
        </w:tabs>
        <w:spacing w:before="15" w:line="276" w:lineRule="auto"/>
        <w:ind w:right="309" w:hanging="338"/>
        <w:jc w:val="both"/>
        <w:rPr>
          <w:rFonts w:ascii="Times New Roman" w:eastAsia="Times New Roman" w:hAnsi="Times New Roman" w:cs="Times New Roman"/>
          <w:sz w:val="24"/>
          <w:szCs w:val="24"/>
        </w:rPr>
      </w:pPr>
      <w:r w:rsidRPr="008C5374">
        <w:rPr>
          <w:rFonts w:ascii="Times New Roman" w:hAnsi="Times New Roman" w:cs="Times New Roman"/>
          <w:i/>
          <w:sz w:val="24"/>
          <w:szCs w:val="24"/>
        </w:rPr>
        <w:t xml:space="preserve">X-i tegevusriigiks võib määrata mis tahes muu mitteosaleva liikmesriigi nagu Taani, Iirimaa, Poola või Rootsi (kuid see </w:t>
      </w:r>
      <w:r w:rsidRPr="008C5374">
        <w:rPr>
          <w:rFonts w:ascii="Times New Roman" w:hAnsi="Times New Roman" w:cs="Times New Roman"/>
          <w:i/>
          <w:sz w:val="24"/>
          <w:szCs w:val="24"/>
          <w:u w:val="single" w:color="000000"/>
        </w:rPr>
        <w:t>peab</w:t>
      </w:r>
      <w:r w:rsidRPr="008C5374">
        <w:rPr>
          <w:rFonts w:ascii="Times New Roman" w:hAnsi="Times New Roman" w:cs="Times New Roman"/>
          <w:i/>
          <w:sz w:val="24"/>
          <w:szCs w:val="24"/>
        </w:rPr>
        <w:t xml:space="preserve"> olema mitteosalev liikmesriik).</w:t>
      </w:r>
    </w:p>
    <w:p w14:paraId="6CC13A66" w14:textId="77777777" w:rsidR="00A95E1E" w:rsidRPr="008C5374" w:rsidRDefault="00CE11BC" w:rsidP="00D86A52">
      <w:pPr>
        <w:pStyle w:val="ListParagraph"/>
        <w:numPr>
          <w:ilvl w:val="0"/>
          <w:numId w:val="5"/>
        </w:numPr>
        <w:tabs>
          <w:tab w:val="left" w:pos="1028"/>
        </w:tabs>
        <w:spacing w:before="1"/>
        <w:ind w:right="309" w:hanging="338"/>
        <w:rPr>
          <w:rFonts w:ascii="Times New Roman" w:eastAsia="Times New Roman" w:hAnsi="Times New Roman" w:cs="Times New Roman"/>
          <w:sz w:val="24"/>
          <w:szCs w:val="24"/>
        </w:rPr>
      </w:pPr>
      <w:r w:rsidRPr="008C5374">
        <w:rPr>
          <w:rFonts w:ascii="Times New Roman" w:hAnsi="Times New Roman" w:cs="Times New Roman"/>
          <w:i/>
          <w:sz w:val="24"/>
        </w:rPr>
        <w:t>Altkäemaksu summa ei ole juhtumi puhul oluline. Seda saab muuta mis tahes muuks summaks.</w:t>
      </w:r>
    </w:p>
    <w:p w14:paraId="4BEA3B0A" w14:textId="77777777" w:rsidR="00A95E1E" w:rsidRPr="008C5374" w:rsidRDefault="00A95E1E">
      <w:pPr>
        <w:spacing w:before="11"/>
        <w:rPr>
          <w:rFonts w:ascii="Times New Roman" w:eastAsia="Times New Roman" w:hAnsi="Times New Roman" w:cs="Times New Roman"/>
          <w:i/>
          <w:sz w:val="20"/>
          <w:szCs w:val="20"/>
        </w:rPr>
      </w:pPr>
    </w:p>
    <w:p w14:paraId="73E7BC55" w14:textId="77777777" w:rsidR="00A95E1E" w:rsidRPr="008C5374" w:rsidRDefault="00CE11BC">
      <w:pPr>
        <w:ind w:left="221"/>
        <w:jc w:val="both"/>
        <w:rPr>
          <w:rFonts w:ascii="Times New Roman" w:eastAsia="Times New Roman" w:hAnsi="Times New Roman" w:cs="Times New Roman"/>
          <w:sz w:val="28"/>
          <w:szCs w:val="28"/>
        </w:rPr>
      </w:pPr>
      <w:r w:rsidRPr="008C5374">
        <w:rPr>
          <w:rFonts w:ascii="Times New Roman" w:hAnsi="Times New Roman" w:cs="Times New Roman"/>
          <w:b/>
          <w:i/>
          <w:color w:val="4F81BC"/>
          <w:sz w:val="28"/>
        </w:rPr>
        <w:t>Küsimused:</w:t>
      </w:r>
    </w:p>
    <w:p w14:paraId="1C30F095" w14:textId="77BDCAAC" w:rsidR="00A95E1E" w:rsidRPr="008C5374" w:rsidRDefault="00CE11BC">
      <w:pPr>
        <w:pStyle w:val="Heading1"/>
        <w:spacing w:before="205" w:line="276" w:lineRule="auto"/>
        <w:ind w:left="221" w:right="528"/>
        <w:jc w:val="both"/>
        <w:rPr>
          <w:rFonts w:cs="Times New Roman"/>
          <w:b w:val="0"/>
          <w:bCs w:val="0"/>
        </w:rPr>
      </w:pPr>
      <w:r w:rsidRPr="008C5374">
        <w:rPr>
          <w:rFonts w:cs="Times New Roman"/>
        </w:rPr>
        <w:t xml:space="preserve">Q1. Eeldades, et ELi finantshuvid on kahjustatud: milline on teie õiguslik hinnang X-i tegevusele? Kas </w:t>
      </w:r>
      <w:r w:rsidR="00D86A52" w:rsidRPr="008C5374">
        <w:rPr>
          <w:rFonts w:cs="Times New Roman"/>
        </w:rPr>
        <w:t>EPPO</w:t>
      </w:r>
      <w:r w:rsidRPr="008C5374">
        <w:rPr>
          <w:rFonts w:cs="Times New Roman"/>
        </w:rPr>
        <w:t xml:space="preserve"> võib algatada tema suhtes uurimise? Kas see muudaks midagi, kui ELi finantshuve ei kahjustataks?</w:t>
      </w:r>
    </w:p>
    <w:p w14:paraId="7FC2ED1D" w14:textId="77777777" w:rsidR="00A95E1E" w:rsidRPr="008C5374" w:rsidRDefault="00CE11BC">
      <w:pPr>
        <w:spacing w:before="40"/>
        <w:ind w:left="907"/>
        <w:jc w:val="both"/>
        <w:rPr>
          <w:rFonts w:ascii="Times New Roman" w:eastAsia="Times New Roman" w:hAnsi="Times New Roman" w:cs="Times New Roman"/>
          <w:sz w:val="24"/>
          <w:szCs w:val="24"/>
        </w:rPr>
      </w:pPr>
      <w:r w:rsidRPr="008C5374">
        <w:rPr>
          <w:rFonts w:ascii="Times New Roman" w:hAnsi="Times New Roman" w:cs="Times New Roman"/>
          <w:i/>
          <w:sz w:val="24"/>
        </w:rPr>
        <w:t>Märkus koolitajale:</w:t>
      </w:r>
    </w:p>
    <w:p w14:paraId="740F5EB4" w14:textId="77777777" w:rsidR="00A95E1E" w:rsidRPr="008C5374" w:rsidRDefault="00CE11BC">
      <w:pPr>
        <w:spacing w:before="46" w:line="276" w:lineRule="auto"/>
        <w:ind w:left="907" w:right="804"/>
        <w:jc w:val="both"/>
        <w:rPr>
          <w:rFonts w:ascii="Times New Roman" w:eastAsia="Times New Roman" w:hAnsi="Times New Roman" w:cs="Times New Roman"/>
          <w:sz w:val="24"/>
          <w:szCs w:val="24"/>
        </w:rPr>
      </w:pPr>
      <w:r w:rsidRPr="008C5374">
        <w:rPr>
          <w:rFonts w:ascii="Times New Roman" w:hAnsi="Times New Roman" w:cs="Times New Roman"/>
          <w:i/>
          <w:sz w:val="24"/>
        </w:rPr>
        <w:t>Selle osa eesmärk on algatada arutelusid mitteosalevate riikide kodanike vastu suunatud uurimiste üle. Lisaks tuleks uurida erinevust hankega seotud ja hankega mitteseotud kulutuste vahel.</w:t>
      </w:r>
    </w:p>
    <w:p w14:paraId="0CB11242" w14:textId="77777777" w:rsidR="00A95E1E" w:rsidRPr="008C5374" w:rsidRDefault="00A95E1E">
      <w:pPr>
        <w:rPr>
          <w:rFonts w:ascii="Times New Roman" w:eastAsia="Times New Roman" w:hAnsi="Times New Roman" w:cs="Times New Roman"/>
          <w:i/>
          <w:sz w:val="24"/>
          <w:szCs w:val="24"/>
        </w:rPr>
      </w:pPr>
    </w:p>
    <w:p w14:paraId="6EAED28C" w14:textId="77777777" w:rsidR="00A95E1E" w:rsidRPr="008C5374" w:rsidRDefault="00CE11BC">
      <w:pPr>
        <w:ind w:left="101"/>
        <w:jc w:val="both"/>
        <w:rPr>
          <w:rFonts w:ascii="Times New Roman" w:eastAsia="Times New Roman" w:hAnsi="Times New Roman" w:cs="Times New Roman"/>
          <w:sz w:val="24"/>
          <w:szCs w:val="24"/>
        </w:rPr>
      </w:pPr>
      <w:r w:rsidRPr="008C5374">
        <w:rPr>
          <w:rFonts w:ascii="Times New Roman" w:hAnsi="Times New Roman" w:cs="Times New Roman"/>
          <w:i/>
          <w:sz w:val="24"/>
        </w:rPr>
        <w:t>Täiendavad märkused:</w:t>
      </w:r>
    </w:p>
    <w:p w14:paraId="43D03F5E" w14:textId="7703AB5C" w:rsidR="00A95E1E" w:rsidRPr="008C5374" w:rsidRDefault="00CE11BC">
      <w:pPr>
        <w:pStyle w:val="ListParagraph"/>
        <w:numPr>
          <w:ilvl w:val="0"/>
          <w:numId w:val="4"/>
        </w:numPr>
        <w:tabs>
          <w:tab w:val="left" w:pos="908"/>
        </w:tabs>
        <w:spacing w:before="50" w:line="276" w:lineRule="auto"/>
        <w:ind w:right="277" w:hanging="338"/>
        <w:jc w:val="both"/>
        <w:rPr>
          <w:rFonts w:ascii="Times New Roman" w:eastAsia="Times New Roman" w:hAnsi="Times New Roman" w:cs="Times New Roman"/>
          <w:sz w:val="24"/>
          <w:szCs w:val="24"/>
        </w:rPr>
      </w:pPr>
      <w:r w:rsidRPr="008C5374">
        <w:rPr>
          <w:rFonts w:ascii="Times New Roman" w:hAnsi="Times New Roman" w:cs="Times New Roman"/>
          <w:sz w:val="24"/>
          <w:szCs w:val="24"/>
        </w:rPr>
        <w:t>X on ilmselgelt A-le ja B-le aktiivselt altkäemaksu andnud. Kuid PIF-direktiivi artikli 4 lõike 2 punkt b) (aktiivne korruptsioon) ei tundu olevat kohaldatav, kuna see konkreetne tegevus ei kahjusta ELi finantshuve.</w:t>
      </w:r>
      <w:r w:rsidR="00956270" w:rsidRPr="008C5374">
        <w:rPr>
          <w:rFonts w:ascii="Times New Roman" w:hAnsi="Times New Roman" w:cs="Times New Roman"/>
          <w:sz w:val="24"/>
          <w:szCs w:val="24"/>
        </w:rPr>
        <w:t xml:space="preserve"> </w:t>
      </w:r>
      <w:r w:rsidRPr="008C5374">
        <w:rPr>
          <w:rFonts w:ascii="Times New Roman" w:hAnsi="Times New Roman" w:cs="Times New Roman"/>
          <w:sz w:val="24"/>
          <w:szCs w:val="24"/>
        </w:rPr>
        <w:t>Süütegu pandi ilmselt toime põhieesmärgiga luua tingimused liidu finantshuve kahjustava süüteo toimepanemiseks (seonduv kuritegu). Kuigi altkäemaksu süütegu võib pidada lahutamatult seotud süüteoks (</w:t>
      </w:r>
      <w:r w:rsidR="00D86A52" w:rsidRPr="008C5374">
        <w:rPr>
          <w:rFonts w:ascii="Times New Roman" w:hAnsi="Times New Roman" w:cs="Times New Roman"/>
          <w:sz w:val="24"/>
          <w:szCs w:val="24"/>
        </w:rPr>
        <w:t>EPPO</w:t>
      </w:r>
      <w:r w:rsidRPr="008C5374">
        <w:rPr>
          <w:rFonts w:ascii="Times New Roman" w:hAnsi="Times New Roman" w:cs="Times New Roman"/>
          <w:sz w:val="24"/>
          <w:szCs w:val="24"/>
        </w:rPr>
        <w:t xml:space="preserve"> määruse artikli 22 lõige 3), ei ole tegemist siiski ne bis in idem põhimõttel toiminguga (oluliste faktide või sisuliselt samade faktide samasus) ja see pandi toime väljaspool Euroopa Liidu territooriume. Lisaks ei ole Ungari osalev liikmesriik. Kuna kuritegu ei kuulu </w:t>
      </w:r>
      <w:r w:rsidR="00D86A52" w:rsidRPr="008C5374">
        <w:rPr>
          <w:rFonts w:ascii="Times New Roman" w:hAnsi="Times New Roman" w:cs="Times New Roman"/>
          <w:sz w:val="24"/>
          <w:szCs w:val="24"/>
        </w:rPr>
        <w:t>EPPO</w:t>
      </w:r>
      <w:r w:rsidRPr="008C5374">
        <w:rPr>
          <w:rFonts w:ascii="Times New Roman" w:hAnsi="Times New Roman" w:cs="Times New Roman"/>
          <w:sz w:val="24"/>
          <w:szCs w:val="24"/>
        </w:rPr>
        <w:t xml:space="preserve"> territoriaalse ja isikulise pädevuse alla (</w:t>
      </w:r>
      <w:r w:rsidR="00D86A52" w:rsidRPr="008C5374">
        <w:rPr>
          <w:rFonts w:ascii="Times New Roman" w:hAnsi="Times New Roman" w:cs="Times New Roman"/>
          <w:sz w:val="24"/>
          <w:szCs w:val="24"/>
        </w:rPr>
        <w:t>EPPO</w:t>
      </w:r>
      <w:r w:rsidRPr="008C5374">
        <w:rPr>
          <w:rFonts w:ascii="Times New Roman" w:hAnsi="Times New Roman" w:cs="Times New Roman"/>
          <w:sz w:val="24"/>
          <w:szCs w:val="24"/>
        </w:rPr>
        <w:t xml:space="preserve"> määruse artikkel 23), puudub sellel võimalus altkäemaksu süütegu uurida.</w:t>
      </w:r>
    </w:p>
    <w:p w14:paraId="271BE007" w14:textId="39CAF4A6" w:rsidR="00A95E1E" w:rsidRPr="008C5374" w:rsidRDefault="00CE11BC">
      <w:pPr>
        <w:pStyle w:val="ListParagraph"/>
        <w:numPr>
          <w:ilvl w:val="0"/>
          <w:numId w:val="4"/>
        </w:numPr>
        <w:tabs>
          <w:tab w:val="left" w:pos="908"/>
        </w:tabs>
        <w:spacing w:before="12" w:line="276" w:lineRule="auto"/>
        <w:ind w:right="114" w:hanging="338"/>
        <w:jc w:val="both"/>
        <w:rPr>
          <w:rFonts w:ascii="Times New Roman" w:eastAsia="Times New Roman" w:hAnsi="Times New Roman" w:cs="Times New Roman"/>
          <w:sz w:val="24"/>
          <w:szCs w:val="24"/>
        </w:rPr>
      </w:pPr>
      <w:r w:rsidRPr="008C5374">
        <w:rPr>
          <w:rFonts w:ascii="Times New Roman" w:hAnsi="Times New Roman" w:cs="Times New Roman"/>
          <w:sz w:val="24"/>
          <w:szCs w:val="24"/>
        </w:rPr>
        <w:t xml:space="preserve">Kuna X on esitanud valeväiteid ja ebaõigeid dokumente ning samuti on toimunud kahju ELi finantshuvidele, on X tõenäoliselt toime pannud Euroopa Liidu finantshuve kahjustava pettuse PIF-direktiivi artikli 3 lõike 2 alusel. Tõenäoliselt kehtib ka </w:t>
      </w:r>
      <w:r w:rsidR="00D86A52" w:rsidRPr="008C5374">
        <w:rPr>
          <w:rFonts w:ascii="Times New Roman" w:hAnsi="Times New Roman" w:cs="Times New Roman"/>
          <w:sz w:val="24"/>
          <w:szCs w:val="24"/>
        </w:rPr>
        <w:t>EPPO</w:t>
      </w:r>
      <w:r w:rsidRPr="008C5374">
        <w:rPr>
          <w:rFonts w:ascii="Times New Roman" w:hAnsi="Times New Roman" w:cs="Times New Roman"/>
          <w:sz w:val="24"/>
          <w:szCs w:val="24"/>
        </w:rPr>
        <w:t xml:space="preserve"> isikulise pädevuse ulatus (</w:t>
      </w:r>
      <w:r w:rsidR="00D86A52" w:rsidRPr="008C5374">
        <w:rPr>
          <w:rFonts w:ascii="Times New Roman" w:hAnsi="Times New Roman" w:cs="Times New Roman"/>
          <w:sz w:val="24"/>
          <w:szCs w:val="24"/>
        </w:rPr>
        <w:t>EPPO</w:t>
      </w:r>
      <w:r w:rsidRPr="008C5374">
        <w:rPr>
          <w:rFonts w:ascii="Times New Roman" w:hAnsi="Times New Roman" w:cs="Times New Roman"/>
          <w:sz w:val="24"/>
          <w:szCs w:val="24"/>
        </w:rPr>
        <w:t xml:space="preserve"> määruse artikli 23 punkt b): Kuritegu pandi osaliselt toime osalevate liikmesriikide territooriumil (Brüssel</w:t>
      </w:r>
      <w:r w:rsidR="00956270" w:rsidRPr="008C5374">
        <w:rPr>
          <w:rFonts w:ascii="Times New Roman" w:hAnsi="Times New Roman" w:cs="Times New Roman"/>
          <w:sz w:val="24"/>
          <w:szCs w:val="24"/>
        </w:rPr>
        <w:t>is</w:t>
      </w:r>
      <w:r w:rsidRPr="008C5374">
        <w:rPr>
          <w:rFonts w:ascii="Times New Roman" w:hAnsi="Times New Roman" w:cs="Times New Roman"/>
          <w:sz w:val="24"/>
          <w:szCs w:val="24"/>
        </w:rPr>
        <w:t>).</w:t>
      </w:r>
    </w:p>
    <w:p w14:paraId="736E2F14" w14:textId="296E9887" w:rsidR="00A95E1E" w:rsidRPr="008C5374" w:rsidRDefault="00CE11BC">
      <w:pPr>
        <w:pStyle w:val="ListParagraph"/>
        <w:numPr>
          <w:ilvl w:val="0"/>
          <w:numId w:val="4"/>
        </w:numPr>
        <w:tabs>
          <w:tab w:val="left" w:pos="898"/>
        </w:tabs>
        <w:spacing w:before="12" w:line="276" w:lineRule="auto"/>
        <w:ind w:right="261" w:hanging="338"/>
        <w:jc w:val="both"/>
        <w:rPr>
          <w:rFonts w:ascii="Times New Roman" w:eastAsia="Times New Roman" w:hAnsi="Times New Roman" w:cs="Times New Roman"/>
          <w:sz w:val="24"/>
          <w:szCs w:val="24"/>
        </w:rPr>
      </w:pPr>
      <w:r w:rsidRPr="008C5374">
        <w:rPr>
          <w:rFonts w:ascii="Times New Roman" w:hAnsi="Times New Roman" w:cs="Times New Roman"/>
          <w:sz w:val="24"/>
          <w:szCs w:val="24"/>
        </w:rPr>
        <w:t xml:space="preserve">Kui X-i tegevus ei oleks põhjustanud rahalist kahju Euroopa finantshuvidele, saaks </w:t>
      </w:r>
      <w:r w:rsidR="00D86A52" w:rsidRPr="008C5374">
        <w:rPr>
          <w:rFonts w:ascii="Times New Roman" w:hAnsi="Times New Roman" w:cs="Times New Roman"/>
          <w:sz w:val="24"/>
          <w:szCs w:val="24"/>
        </w:rPr>
        <w:t>EPPO</w:t>
      </w:r>
      <w:r w:rsidRPr="008C5374">
        <w:rPr>
          <w:rFonts w:ascii="Times New Roman" w:hAnsi="Times New Roman" w:cs="Times New Roman"/>
          <w:sz w:val="24"/>
          <w:szCs w:val="24"/>
        </w:rPr>
        <w:t xml:space="preserve"> oma pädevust teostada ainult juhul, kui kulutus ei ole hankega seotud (PIF-direktiivi artikli 3 lõike 2 punkt a)).</w:t>
      </w:r>
      <w:r w:rsidR="00956270" w:rsidRPr="008C5374">
        <w:rPr>
          <w:rFonts w:ascii="Times New Roman" w:hAnsi="Times New Roman" w:cs="Times New Roman"/>
          <w:sz w:val="24"/>
          <w:szCs w:val="24"/>
        </w:rPr>
        <w:t xml:space="preserve"> </w:t>
      </w:r>
      <w:r w:rsidRPr="008C5374">
        <w:rPr>
          <w:rFonts w:ascii="Times New Roman" w:hAnsi="Times New Roman" w:cs="Times New Roman"/>
          <w:sz w:val="24"/>
          <w:szCs w:val="24"/>
        </w:rPr>
        <w:t>Riigihankelepingute määratlus on esitatud Euroopa Parlamendi ja nõukogu 25. oktoobri 2012. aasta määruse (EL, Euratom) nr 966/2012 artiklis 101, mis käsitleb liidu üldeelarve suhtes kohaldatavaid finantseeskirju ja millega tunnistatakse kehtetuks nõukogu määrus (EÜ, Euratom) nr 1605/2002.</w:t>
      </w:r>
    </w:p>
    <w:p w14:paraId="6510F77E" w14:textId="77777777" w:rsidR="00A95E1E" w:rsidRPr="008C5374" w:rsidRDefault="00A95E1E">
      <w:pPr>
        <w:rPr>
          <w:rFonts w:ascii="Times New Roman" w:eastAsia="Times New Roman" w:hAnsi="Times New Roman" w:cs="Times New Roman"/>
          <w:sz w:val="24"/>
          <w:szCs w:val="24"/>
        </w:rPr>
      </w:pPr>
    </w:p>
    <w:p w14:paraId="56F385E6" w14:textId="7C3172D5" w:rsidR="00A95E1E" w:rsidRPr="008C5374" w:rsidRDefault="00CE11BC">
      <w:pPr>
        <w:pStyle w:val="Heading1"/>
        <w:spacing w:before="193" w:line="276" w:lineRule="auto"/>
        <w:ind w:right="406"/>
        <w:jc w:val="both"/>
        <w:rPr>
          <w:rFonts w:cs="Times New Roman"/>
          <w:b w:val="0"/>
          <w:bCs w:val="0"/>
        </w:rPr>
      </w:pPr>
      <w:r w:rsidRPr="008C5374">
        <w:rPr>
          <w:rFonts w:cs="Times New Roman"/>
        </w:rPr>
        <w:t xml:space="preserve">Q2. Milline on teie õiguslik hinnang </w:t>
      </w:r>
      <w:r w:rsidR="00D86A52" w:rsidRPr="008C5374">
        <w:rPr>
          <w:rFonts w:cs="Times New Roman"/>
        </w:rPr>
        <w:t>EPPO</w:t>
      </w:r>
      <w:r w:rsidRPr="008C5374">
        <w:rPr>
          <w:rFonts w:cs="Times New Roman"/>
        </w:rPr>
        <w:t xml:space="preserve"> pädevusele liikmesriikide A või B prokuröri käsitlemise seisukohast, kes peab tegelema ELi agentide vastu esitatud süüdistustega?</w:t>
      </w:r>
    </w:p>
    <w:p w14:paraId="57649C53" w14:textId="77777777" w:rsidR="00A95E1E" w:rsidRPr="008C5374" w:rsidRDefault="00A95E1E">
      <w:pPr>
        <w:rPr>
          <w:rFonts w:ascii="Times New Roman" w:eastAsia="Times New Roman" w:hAnsi="Times New Roman" w:cs="Times New Roman"/>
          <w:b/>
          <w:bCs/>
          <w:sz w:val="24"/>
          <w:szCs w:val="24"/>
        </w:rPr>
      </w:pPr>
    </w:p>
    <w:p w14:paraId="7DD01E07" w14:textId="77777777" w:rsidR="00A95E1E" w:rsidRPr="008C5374" w:rsidRDefault="00CE11BC">
      <w:pPr>
        <w:ind w:left="230" w:right="367"/>
        <w:rPr>
          <w:rFonts w:ascii="Times New Roman" w:eastAsia="Times New Roman" w:hAnsi="Times New Roman" w:cs="Times New Roman"/>
          <w:sz w:val="24"/>
          <w:szCs w:val="24"/>
        </w:rPr>
      </w:pPr>
      <w:r w:rsidRPr="008C5374">
        <w:rPr>
          <w:rFonts w:ascii="Times New Roman" w:hAnsi="Times New Roman" w:cs="Times New Roman"/>
          <w:i/>
          <w:sz w:val="24"/>
        </w:rPr>
        <w:t>Märkus koolitajale:</w:t>
      </w:r>
    </w:p>
    <w:p w14:paraId="4A162CF5" w14:textId="26EE95EE" w:rsidR="00A95E1E" w:rsidRPr="008C5374" w:rsidRDefault="00CE11BC" w:rsidP="006E208E">
      <w:pPr>
        <w:spacing w:before="50"/>
        <w:ind w:left="230" w:right="367"/>
        <w:rPr>
          <w:rFonts w:ascii="Times New Roman" w:eastAsia="Times New Roman" w:hAnsi="Times New Roman" w:cs="Times New Roman"/>
          <w:sz w:val="24"/>
          <w:szCs w:val="24"/>
        </w:rPr>
      </w:pPr>
      <w:r w:rsidRPr="008C5374">
        <w:rPr>
          <w:rFonts w:ascii="Times New Roman" w:hAnsi="Times New Roman" w:cs="Times New Roman"/>
          <w:i/>
          <w:sz w:val="24"/>
        </w:rPr>
        <w:t>Selle osa eesmärk on arutada juhtumit siseriikliku</w:t>
      </w:r>
      <w:r w:rsidR="006E208E" w:rsidRPr="008C5374">
        <w:rPr>
          <w:rFonts w:ascii="Times New Roman" w:hAnsi="Times New Roman" w:cs="Times New Roman"/>
          <w:i/>
          <w:sz w:val="24"/>
        </w:rPr>
        <w:t xml:space="preserve"> </w:t>
      </w:r>
      <w:r w:rsidRPr="008C5374">
        <w:rPr>
          <w:rFonts w:ascii="Times New Roman" w:hAnsi="Times New Roman" w:cs="Times New Roman"/>
          <w:i/>
          <w:sz w:val="24"/>
        </w:rPr>
        <w:t xml:space="preserve">prokuröri vaatenurgast, pidades silmas PIF-direktiivi ja </w:t>
      </w:r>
      <w:r w:rsidR="00D86A52" w:rsidRPr="008C5374">
        <w:rPr>
          <w:rFonts w:ascii="Times New Roman" w:hAnsi="Times New Roman" w:cs="Times New Roman"/>
          <w:i/>
          <w:sz w:val="24"/>
        </w:rPr>
        <w:t>EPPO</w:t>
      </w:r>
      <w:r w:rsidRPr="008C5374">
        <w:rPr>
          <w:rFonts w:ascii="Times New Roman" w:hAnsi="Times New Roman" w:cs="Times New Roman"/>
          <w:i/>
          <w:sz w:val="24"/>
        </w:rPr>
        <w:t xml:space="preserve"> määruse vastavaid sätteid. Osalejad peaksid arvestama nii asjakohast materiaal- kui ka menetlusõigust. Kohalolijad peaksid arvestama ka sellega, et tegevus toimus Londonis.</w:t>
      </w:r>
    </w:p>
    <w:p w14:paraId="4FC7917D" w14:textId="77777777" w:rsidR="00A95E1E" w:rsidRPr="008C5374" w:rsidRDefault="00A95E1E">
      <w:pPr>
        <w:spacing w:before="3"/>
        <w:rPr>
          <w:rFonts w:ascii="Times New Roman" w:eastAsia="Times New Roman" w:hAnsi="Times New Roman" w:cs="Times New Roman"/>
          <w:i/>
          <w:sz w:val="29"/>
          <w:szCs w:val="29"/>
        </w:rPr>
      </w:pPr>
    </w:p>
    <w:p w14:paraId="36254420" w14:textId="77777777" w:rsidR="00A95E1E" w:rsidRPr="008C5374" w:rsidRDefault="00CE11BC">
      <w:pPr>
        <w:pStyle w:val="BodyText"/>
        <w:ind w:left="230" w:right="367" w:firstLine="0"/>
        <w:rPr>
          <w:rFonts w:cs="Times New Roman"/>
        </w:rPr>
      </w:pPr>
      <w:r w:rsidRPr="008C5374">
        <w:rPr>
          <w:rFonts w:cs="Times New Roman"/>
        </w:rPr>
        <w:t>Täiendavad märkused:</w:t>
      </w:r>
    </w:p>
    <w:p w14:paraId="4EB33FB0" w14:textId="756EE950" w:rsidR="00A95E1E" w:rsidRPr="008C5374" w:rsidRDefault="00CE11BC">
      <w:pPr>
        <w:pStyle w:val="ListParagraph"/>
        <w:numPr>
          <w:ilvl w:val="0"/>
          <w:numId w:val="4"/>
        </w:numPr>
        <w:tabs>
          <w:tab w:val="left" w:pos="908"/>
        </w:tabs>
        <w:spacing w:before="52" w:line="273" w:lineRule="auto"/>
        <w:ind w:right="287" w:hanging="338"/>
        <w:jc w:val="both"/>
        <w:rPr>
          <w:rFonts w:ascii="Times New Roman" w:eastAsia="Times New Roman" w:hAnsi="Times New Roman" w:cs="Times New Roman"/>
          <w:sz w:val="24"/>
          <w:szCs w:val="24"/>
        </w:rPr>
      </w:pPr>
      <w:r w:rsidRPr="008C5374">
        <w:rPr>
          <w:rFonts w:ascii="Times New Roman" w:hAnsi="Times New Roman" w:cs="Times New Roman"/>
          <w:sz w:val="24"/>
          <w:szCs w:val="24"/>
        </w:rPr>
        <w:t>Kuigi on üsna ilmne, et A ja B on seotud „passiivse korruptsiooniga“, pole kindel, et nad on toime pannud PIF-kuriteo.</w:t>
      </w:r>
      <w:r w:rsidR="00956270" w:rsidRPr="008C5374">
        <w:rPr>
          <w:rFonts w:ascii="Times New Roman" w:hAnsi="Times New Roman" w:cs="Times New Roman"/>
          <w:sz w:val="24"/>
          <w:szCs w:val="24"/>
        </w:rPr>
        <w:t xml:space="preserve"> </w:t>
      </w:r>
      <w:r w:rsidRPr="008C5374">
        <w:rPr>
          <w:rFonts w:ascii="Times New Roman" w:hAnsi="Times New Roman" w:cs="Times New Roman"/>
          <w:sz w:val="24"/>
          <w:szCs w:val="24"/>
        </w:rPr>
        <w:t>PIF-direktiivi artikli 4 lõike 2 punkt a) nõuab kahju või „tõenäolise kahju” tekitamist liidu finantshuvidele.</w:t>
      </w:r>
    </w:p>
    <w:p w14:paraId="4D9F2864" w14:textId="77777777" w:rsidR="00A95E1E" w:rsidRPr="008C5374" w:rsidRDefault="00CE11BC">
      <w:pPr>
        <w:pStyle w:val="ListParagraph"/>
        <w:numPr>
          <w:ilvl w:val="0"/>
          <w:numId w:val="4"/>
        </w:numPr>
        <w:tabs>
          <w:tab w:val="left" w:pos="908"/>
        </w:tabs>
        <w:spacing w:before="10" w:line="273" w:lineRule="auto"/>
        <w:ind w:right="309" w:hanging="338"/>
        <w:jc w:val="both"/>
        <w:rPr>
          <w:rFonts w:ascii="Times New Roman" w:eastAsia="Times New Roman" w:hAnsi="Times New Roman" w:cs="Times New Roman"/>
          <w:sz w:val="24"/>
          <w:szCs w:val="24"/>
        </w:rPr>
      </w:pPr>
      <w:r w:rsidRPr="008C5374">
        <w:rPr>
          <w:rFonts w:ascii="Times New Roman" w:hAnsi="Times New Roman" w:cs="Times New Roman"/>
          <w:sz w:val="24"/>
          <w:szCs w:val="24"/>
        </w:rPr>
        <w:t xml:space="preserve">Kuid võib arvesse võtta, et konsortsium on esitanud valeväiteid ja ebaõigeid dokumente ning pakkunud konkurendist napilt vähem. See asjaolu tekitab </w:t>
      </w:r>
      <w:r w:rsidRPr="008C5374">
        <w:rPr>
          <w:rFonts w:ascii="Times New Roman" w:hAnsi="Times New Roman" w:cs="Times New Roman"/>
          <w:sz w:val="24"/>
          <w:szCs w:val="24"/>
        </w:rPr>
        <w:lastRenderedPageBreak/>
        <w:t>vähemalt esialgse kahtluse, et A ja B aitasid kaasa X-i tegevusele, mida võib PIF-direktiivi artikli 3 lõike 2 kohaselt vaadelda kui pettust.</w:t>
      </w:r>
    </w:p>
    <w:p w14:paraId="6DDD5BEB" w14:textId="6B4EB062" w:rsidR="00A95E1E" w:rsidRPr="008C5374" w:rsidRDefault="00CE11BC">
      <w:pPr>
        <w:pStyle w:val="ListParagraph"/>
        <w:numPr>
          <w:ilvl w:val="0"/>
          <w:numId w:val="4"/>
        </w:numPr>
        <w:tabs>
          <w:tab w:val="left" w:pos="901"/>
        </w:tabs>
        <w:spacing w:before="8" w:line="276" w:lineRule="auto"/>
        <w:ind w:right="280" w:hanging="338"/>
        <w:jc w:val="both"/>
        <w:rPr>
          <w:rFonts w:ascii="Times New Roman" w:eastAsia="Times New Roman" w:hAnsi="Times New Roman" w:cs="Times New Roman"/>
          <w:sz w:val="24"/>
          <w:szCs w:val="24"/>
        </w:rPr>
      </w:pPr>
      <w:r w:rsidRPr="008C5374">
        <w:rPr>
          <w:rFonts w:ascii="Times New Roman" w:hAnsi="Times New Roman" w:cs="Times New Roman"/>
          <w:sz w:val="24"/>
          <w:szCs w:val="24"/>
        </w:rPr>
        <w:t xml:space="preserve">Isegi kui A ja B korruptiivne tegevus ei pruugi olla kahjustanud liidu finantshuve, võib neid </w:t>
      </w:r>
      <w:r w:rsidR="00D86A52" w:rsidRPr="008C5374">
        <w:rPr>
          <w:rFonts w:ascii="Times New Roman" w:hAnsi="Times New Roman" w:cs="Times New Roman"/>
          <w:sz w:val="24"/>
          <w:szCs w:val="24"/>
        </w:rPr>
        <w:t>EPPO</w:t>
      </w:r>
      <w:r w:rsidRPr="008C5374">
        <w:rPr>
          <w:rFonts w:ascii="Times New Roman" w:hAnsi="Times New Roman" w:cs="Times New Roman"/>
          <w:sz w:val="24"/>
          <w:szCs w:val="24"/>
        </w:rPr>
        <w:t xml:space="preserve"> määruse artikli 22 lõike 3 alusel vaadelda kui „lahutamatult seotud kuritegusid“. Sel juhul tekib küsimus, kas A ja B abi X-i petturlikes tegudes ja samaaegses korruptsiooni toimepanemises tuleks käsitleda ne bis in idem põhimõtte kohaselt (oluliste faktide või sisuliselt samade faktide samasus). Kui jah, siis võib </w:t>
      </w:r>
      <w:r w:rsidR="00D86A52" w:rsidRPr="008C5374">
        <w:rPr>
          <w:rFonts w:ascii="Times New Roman" w:hAnsi="Times New Roman" w:cs="Times New Roman"/>
          <w:sz w:val="24"/>
          <w:szCs w:val="24"/>
        </w:rPr>
        <w:t>EPPO</w:t>
      </w:r>
      <w:r w:rsidRPr="008C5374">
        <w:rPr>
          <w:rFonts w:ascii="Times New Roman" w:hAnsi="Times New Roman" w:cs="Times New Roman"/>
          <w:sz w:val="24"/>
          <w:szCs w:val="24"/>
        </w:rPr>
        <w:t xml:space="preserve"> oma pädevust teostada ainult siis, kui PIF-kuriteo (kelmuse) maksimaalne karistus on kõrgem kui lahutamatult seotud kuriteo (altkäemaksu võtmine) eest.</w:t>
      </w:r>
    </w:p>
    <w:p w14:paraId="601C2D2C" w14:textId="0BB919C8" w:rsidR="00A95E1E" w:rsidRPr="008C5374" w:rsidRDefault="00CE11BC">
      <w:pPr>
        <w:pStyle w:val="ListParagraph"/>
        <w:numPr>
          <w:ilvl w:val="0"/>
          <w:numId w:val="4"/>
        </w:numPr>
        <w:tabs>
          <w:tab w:val="left" w:pos="908"/>
        </w:tabs>
        <w:spacing w:before="13" w:line="276" w:lineRule="auto"/>
        <w:ind w:right="275" w:hanging="338"/>
        <w:jc w:val="both"/>
        <w:rPr>
          <w:rFonts w:ascii="Times New Roman" w:eastAsia="Times New Roman" w:hAnsi="Times New Roman" w:cs="Times New Roman"/>
          <w:sz w:val="24"/>
          <w:szCs w:val="24"/>
        </w:rPr>
      </w:pPr>
      <w:r w:rsidRPr="008C5374">
        <w:rPr>
          <w:rFonts w:ascii="Times New Roman" w:hAnsi="Times New Roman" w:cs="Times New Roman"/>
          <w:sz w:val="24"/>
          <w:szCs w:val="24"/>
        </w:rPr>
        <w:t xml:space="preserve">Tõenäoliselt kohaldub </w:t>
      </w:r>
      <w:r w:rsidR="00D86A52" w:rsidRPr="008C5374">
        <w:rPr>
          <w:rFonts w:ascii="Times New Roman" w:hAnsi="Times New Roman" w:cs="Times New Roman"/>
          <w:sz w:val="24"/>
          <w:szCs w:val="24"/>
        </w:rPr>
        <w:t>EPPO</w:t>
      </w:r>
      <w:r w:rsidRPr="008C5374">
        <w:rPr>
          <w:rFonts w:ascii="Times New Roman" w:hAnsi="Times New Roman" w:cs="Times New Roman"/>
          <w:sz w:val="24"/>
          <w:szCs w:val="24"/>
        </w:rPr>
        <w:t xml:space="preserve"> isikulise pädevuse ulatus (</w:t>
      </w:r>
      <w:r w:rsidR="00D86A52" w:rsidRPr="008C5374">
        <w:rPr>
          <w:rFonts w:ascii="Times New Roman" w:hAnsi="Times New Roman" w:cs="Times New Roman"/>
          <w:sz w:val="24"/>
          <w:szCs w:val="24"/>
        </w:rPr>
        <w:t>EPPO</w:t>
      </w:r>
      <w:r w:rsidRPr="008C5374">
        <w:rPr>
          <w:rFonts w:ascii="Times New Roman" w:hAnsi="Times New Roman" w:cs="Times New Roman"/>
          <w:sz w:val="24"/>
          <w:szCs w:val="24"/>
        </w:rPr>
        <w:t xml:space="preserve"> määruse artikli 23 punkt b või c): </w:t>
      </w:r>
      <w:r w:rsidR="006E208E" w:rsidRPr="008C5374">
        <w:rPr>
          <w:rFonts w:ascii="Times New Roman" w:hAnsi="Times New Roman" w:cs="Times New Roman"/>
          <w:sz w:val="24"/>
          <w:szCs w:val="24"/>
        </w:rPr>
        <w:t>k</w:t>
      </w:r>
      <w:r w:rsidRPr="008C5374">
        <w:rPr>
          <w:rFonts w:ascii="Times New Roman" w:hAnsi="Times New Roman" w:cs="Times New Roman"/>
          <w:sz w:val="24"/>
          <w:szCs w:val="24"/>
        </w:rPr>
        <w:t>uigi kuriteod pandi toime väljaspool osalevate liikmesriikide territooriume (London), panid need toime vastavate liikmesriikide kodanikud, kelle suhtes kehtivad personalieeskirjad. On põhjust eeldada, et liikmesriikidel A ja B on selliste korruptsiooniaktide puhul jurisdiktsioon isegi siis, kui need on toime pandud väljaspool nende territooriumi (siseriikliku jurisdiktsiooni topeltkontrollimine on siiski nõutav).</w:t>
      </w:r>
    </w:p>
    <w:p w14:paraId="33FDD2EB" w14:textId="77777777" w:rsidR="00A95E1E" w:rsidRPr="008C5374" w:rsidRDefault="00A95E1E">
      <w:pPr>
        <w:spacing w:before="4"/>
        <w:rPr>
          <w:rFonts w:ascii="Times New Roman" w:eastAsia="Times New Roman" w:hAnsi="Times New Roman" w:cs="Times New Roman"/>
          <w:sz w:val="25"/>
          <w:szCs w:val="25"/>
        </w:rPr>
      </w:pPr>
    </w:p>
    <w:p w14:paraId="2B91445C" w14:textId="684263D7" w:rsidR="00A95E1E" w:rsidRPr="008C5374" w:rsidRDefault="00CE11BC">
      <w:pPr>
        <w:pStyle w:val="Heading1"/>
        <w:spacing w:line="276" w:lineRule="auto"/>
        <w:ind w:right="300"/>
        <w:jc w:val="both"/>
        <w:rPr>
          <w:rFonts w:cs="Times New Roman"/>
          <w:b w:val="0"/>
          <w:bCs w:val="0"/>
        </w:rPr>
      </w:pPr>
      <w:bookmarkStart w:id="0" w:name="Q3._As_a_national_prosecutor,_dealing_wi"/>
      <w:bookmarkEnd w:id="0"/>
      <w:r w:rsidRPr="008C5374">
        <w:rPr>
          <w:rFonts w:cs="Times New Roman"/>
        </w:rPr>
        <w:t xml:space="preserve">Q3. Kas teavitaksite A või B vastu esitatud süüdistustega tegeleva riikliku prokurörina juhtumist </w:t>
      </w:r>
      <w:r w:rsidR="00D86A52" w:rsidRPr="008C5374">
        <w:rPr>
          <w:rFonts w:cs="Times New Roman"/>
        </w:rPr>
        <w:t>EPPOt</w:t>
      </w:r>
      <w:r w:rsidRPr="008C5374">
        <w:rPr>
          <w:rFonts w:cs="Times New Roman"/>
        </w:rPr>
        <w:t>? Kui jah, siis kuidas? Mida tuleb seni seoses riiklike juurdlustega ette võtta?</w:t>
      </w:r>
    </w:p>
    <w:p w14:paraId="7EF83FBB" w14:textId="77777777" w:rsidR="00A95E1E" w:rsidRPr="008C5374" w:rsidRDefault="00A95E1E">
      <w:pPr>
        <w:spacing w:before="10"/>
        <w:rPr>
          <w:rFonts w:ascii="Times New Roman" w:eastAsia="Times New Roman" w:hAnsi="Times New Roman" w:cs="Times New Roman"/>
          <w:b/>
          <w:bCs/>
          <w:sz w:val="24"/>
          <w:szCs w:val="24"/>
        </w:rPr>
      </w:pPr>
    </w:p>
    <w:p w14:paraId="14B1DF9F" w14:textId="77777777" w:rsidR="00A95E1E" w:rsidRPr="008C5374" w:rsidRDefault="00CE11BC">
      <w:pPr>
        <w:ind w:left="230" w:right="367"/>
        <w:rPr>
          <w:rFonts w:ascii="Times New Roman" w:eastAsia="Times New Roman" w:hAnsi="Times New Roman" w:cs="Times New Roman"/>
          <w:sz w:val="24"/>
          <w:szCs w:val="24"/>
        </w:rPr>
      </w:pPr>
      <w:r w:rsidRPr="008C5374">
        <w:rPr>
          <w:rFonts w:ascii="Times New Roman" w:hAnsi="Times New Roman" w:cs="Times New Roman"/>
          <w:i/>
          <w:sz w:val="24"/>
        </w:rPr>
        <w:t>Märkus koolitajale:</w:t>
      </w:r>
    </w:p>
    <w:p w14:paraId="06DCA5D1" w14:textId="3467BBA1" w:rsidR="00A95E1E" w:rsidRPr="008C5374" w:rsidRDefault="00CE11BC">
      <w:pPr>
        <w:spacing w:before="50" w:line="276" w:lineRule="auto"/>
        <w:ind w:left="230" w:right="357"/>
        <w:jc w:val="both"/>
        <w:rPr>
          <w:rFonts w:ascii="Times New Roman" w:eastAsia="Times New Roman" w:hAnsi="Times New Roman" w:cs="Times New Roman"/>
          <w:sz w:val="24"/>
          <w:szCs w:val="24"/>
        </w:rPr>
      </w:pPr>
      <w:r w:rsidRPr="008C5374">
        <w:rPr>
          <w:rFonts w:ascii="Times New Roman" w:hAnsi="Times New Roman" w:cs="Times New Roman"/>
          <w:i/>
          <w:sz w:val="24"/>
        </w:rPr>
        <w:t xml:space="preserve">Selle osa eesmärk on arutada ametlikke samme, mida siseriiklikud prokurörid peavad astuma, et </w:t>
      </w:r>
      <w:r w:rsidR="00D86A52" w:rsidRPr="008C5374">
        <w:rPr>
          <w:rFonts w:ascii="Times New Roman" w:hAnsi="Times New Roman" w:cs="Times New Roman"/>
          <w:i/>
          <w:sz w:val="24"/>
        </w:rPr>
        <w:t>EPPO</w:t>
      </w:r>
      <w:r w:rsidRPr="008C5374">
        <w:rPr>
          <w:rFonts w:ascii="Times New Roman" w:hAnsi="Times New Roman" w:cs="Times New Roman"/>
          <w:i/>
          <w:sz w:val="24"/>
        </w:rPr>
        <w:t xml:space="preserve"> poole õigesti pöörduda. Arvestada tuleb ka sellega, et kahju ei ole siiani suudetud hinnata.</w:t>
      </w:r>
    </w:p>
    <w:p w14:paraId="4E75E169" w14:textId="0789DC9E" w:rsidR="00A95E1E" w:rsidRPr="008C5374" w:rsidRDefault="00CE11BC" w:rsidP="00D86A52">
      <w:pPr>
        <w:tabs>
          <w:tab w:val="left" w:pos="1163"/>
          <w:tab w:val="left" w:pos="1633"/>
          <w:tab w:val="left" w:pos="2050"/>
          <w:tab w:val="left" w:pos="2578"/>
          <w:tab w:val="left" w:pos="4632"/>
          <w:tab w:val="left" w:pos="5675"/>
          <w:tab w:val="left" w:pos="7296"/>
          <w:tab w:val="left" w:pos="7713"/>
        </w:tabs>
        <w:spacing w:before="10" w:line="276" w:lineRule="auto"/>
        <w:ind w:left="230" w:right="346"/>
        <w:rPr>
          <w:rFonts w:ascii="Times New Roman" w:eastAsia="Times New Roman" w:hAnsi="Times New Roman" w:cs="Times New Roman"/>
          <w:sz w:val="24"/>
          <w:szCs w:val="24"/>
        </w:rPr>
      </w:pPr>
      <w:r w:rsidRPr="008C5374">
        <w:rPr>
          <w:rFonts w:ascii="Times New Roman" w:hAnsi="Times New Roman" w:cs="Times New Roman"/>
          <w:i/>
          <w:sz w:val="24"/>
          <w:szCs w:val="24"/>
        </w:rPr>
        <w:t>Põhjendus</w:t>
      </w:r>
      <w:r w:rsidR="00D86A52" w:rsidRPr="008C5374">
        <w:rPr>
          <w:rFonts w:ascii="Times New Roman" w:hAnsi="Times New Roman" w:cs="Times New Roman"/>
          <w:i/>
          <w:sz w:val="24"/>
          <w:szCs w:val="24"/>
        </w:rPr>
        <w:t xml:space="preserve"> </w:t>
      </w:r>
      <w:r w:rsidRPr="008C5374">
        <w:rPr>
          <w:rFonts w:ascii="Times New Roman" w:hAnsi="Times New Roman" w:cs="Times New Roman"/>
          <w:i/>
          <w:sz w:val="24"/>
          <w:szCs w:val="24"/>
        </w:rPr>
        <w:t>53</w:t>
      </w:r>
      <w:r w:rsidR="00D86A52" w:rsidRPr="008C5374">
        <w:rPr>
          <w:rFonts w:ascii="Times New Roman" w:hAnsi="Times New Roman" w:cs="Times New Roman"/>
          <w:i/>
          <w:sz w:val="24"/>
          <w:szCs w:val="24"/>
        </w:rPr>
        <w:t xml:space="preserve"> </w:t>
      </w:r>
      <w:r w:rsidRPr="008C5374">
        <w:rPr>
          <w:rFonts w:ascii="Times New Roman" w:hAnsi="Times New Roman" w:cs="Times New Roman"/>
          <w:i/>
          <w:sz w:val="24"/>
          <w:szCs w:val="24"/>
        </w:rPr>
        <w:t>E</w:t>
      </w:r>
      <w:r w:rsidR="00D86A52" w:rsidRPr="008C5374">
        <w:rPr>
          <w:rFonts w:ascii="Times New Roman" w:hAnsi="Times New Roman" w:cs="Times New Roman"/>
          <w:i/>
          <w:sz w:val="24"/>
          <w:szCs w:val="24"/>
        </w:rPr>
        <w:t xml:space="preserve">PPO </w:t>
      </w:r>
      <w:r w:rsidRPr="008C5374">
        <w:rPr>
          <w:rFonts w:ascii="Times New Roman" w:hAnsi="Times New Roman" w:cs="Times New Roman"/>
          <w:i/>
          <w:sz w:val="24"/>
          <w:szCs w:val="24"/>
        </w:rPr>
        <w:t>määrusest</w:t>
      </w:r>
      <w:r w:rsidR="00D86A52" w:rsidRPr="008C5374">
        <w:rPr>
          <w:rFonts w:ascii="Times New Roman" w:hAnsi="Times New Roman" w:cs="Times New Roman"/>
          <w:i/>
          <w:sz w:val="24"/>
          <w:szCs w:val="24"/>
        </w:rPr>
        <w:t xml:space="preserve"> </w:t>
      </w:r>
      <w:r w:rsidRPr="008C5374">
        <w:rPr>
          <w:rFonts w:ascii="Times New Roman" w:hAnsi="Times New Roman" w:cs="Times New Roman"/>
          <w:i/>
          <w:sz w:val="24"/>
          <w:szCs w:val="24"/>
        </w:rPr>
        <w:t>(„lai</w:t>
      </w:r>
      <w:r w:rsidR="00D86A52" w:rsidRPr="008C5374">
        <w:rPr>
          <w:rFonts w:ascii="Times New Roman" w:hAnsi="Times New Roman" w:cs="Times New Roman"/>
          <w:i/>
          <w:sz w:val="24"/>
          <w:szCs w:val="24"/>
        </w:rPr>
        <w:t xml:space="preserve"> </w:t>
      </w:r>
      <w:r w:rsidRPr="008C5374">
        <w:rPr>
          <w:rFonts w:ascii="Times New Roman" w:hAnsi="Times New Roman" w:cs="Times New Roman"/>
          <w:i/>
          <w:sz w:val="24"/>
          <w:szCs w:val="24"/>
        </w:rPr>
        <w:t>tõlgendus</w:t>
      </w:r>
      <w:r w:rsidR="00D86A52" w:rsidRPr="008C5374">
        <w:rPr>
          <w:rFonts w:ascii="Times New Roman" w:hAnsi="Times New Roman" w:cs="Times New Roman"/>
          <w:i/>
          <w:sz w:val="24"/>
          <w:szCs w:val="24"/>
        </w:rPr>
        <w:t xml:space="preserve"> </w:t>
      </w:r>
      <w:r w:rsidRPr="008C5374">
        <w:rPr>
          <w:rFonts w:ascii="Times New Roman" w:hAnsi="Times New Roman" w:cs="Times New Roman"/>
          <w:i/>
          <w:sz w:val="24"/>
          <w:szCs w:val="24"/>
        </w:rPr>
        <w:t>Euroopa</w:t>
      </w:r>
      <w:r w:rsidR="00D86A52" w:rsidRPr="008C5374">
        <w:rPr>
          <w:rFonts w:ascii="Times New Roman" w:hAnsi="Times New Roman" w:cs="Times New Roman"/>
          <w:i/>
          <w:sz w:val="24"/>
          <w:szCs w:val="24"/>
        </w:rPr>
        <w:t xml:space="preserve"> </w:t>
      </w:r>
      <w:r w:rsidRPr="008C5374">
        <w:rPr>
          <w:rFonts w:ascii="Times New Roman" w:hAnsi="Times New Roman" w:cs="Times New Roman"/>
          <w:i/>
          <w:sz w:val="24"/>
          <w:szCs w:val="24"/>
        </w:rPr>
        <w:t>teavitamiskohustusest“) võib osutuda probleemiks. Samuti võib tekkida arutelu selle üle, mida tuleb</w:t>
      </w:r>
      <w:r w:rsidR="00D86A52" w:rsidRPr="008C5374">
        <w:rPr>
          <w:rFonts w:ascii="Times New Roman" w:hAnsi="Times New Roman" w:cs="Times New Roman"/>
          <w:i/>
          <w:sz w:val="24"/>
          <w:szCs w:val="24"/>
        </w:rPr>
        <w:t xml:space="preserve"> </w:t>
      </w:r>
      <w:r w:rsidRPr="008C5374">
        <w:rPr>
          <w:rFonts w:ascii="Times New Roman" w:hAnsi="Times New Roman" w:cs="Times New Roman"/>
          <w:i/>
          <w:sz w:val="24"/>
          <w:szCs w:val="24"/>
        </w:rPr>
        <w:t>teha, kui E</w:t>
      </w:r>
      <w:r w:rsidR="00D86A52" w:rsidRPr="008C5374">
        <w:rPr>
          <w:rFonts w:ascii="Times New Roman" w:hAnsi="Times New Roman" w:cs="Times New Roman"/>
          <w:i/>
          <w:sz w:val="24"/>
          <w:szCs w:val="24"/>
        </w:rPr>
        <w:t xml:space="preserve">PPO </w:t>
      </w:r>
      <w:r w:rsidRPr="008C5374">
        <w:rPr>
          <w:rFonts w:ascii="Times New Roman" w:hAnsi="Times New Roman" w:cs="Times New Roman"/>
          <w:i/>
          <w:sz w:val="24"/>
          <w:szCs w:val="24"/>
        </w:rPr>
        <w:t xml:space="preserve">ei kasuta oma evokatsiooniõigust </w:t>
      </w:r>
      <w:r w:rsidR="00D86A52" w:rsidRPr="008C5374">
        <w:rPr>
          <w:rFonts w:ascii="Times New Roman" w:hAnsi="Times New Roman" w:cs="Times New Roman"/>
          <w:i/>
          <w:sz w:val="24"/>
          <w:szCs w:val="24"/>
        </w:rPr>
        <w:t xml:space="preserve">EPPO </w:t>
      </w:r>
      <w:r w:rsidRPr="008C5374">
        <w:rPr>
          <w:rFonts w:ascii="Times New Roman" w:hAnsi="Times New Roman" w:cs="Times New Roman"/>
          <w:i/>
          <w:sz w:val="24"/>
          <w:szCs w:val="24"/>
        </w:rPr>
        <w:t>määruse artikli 27 lõikes 1 sätestatud ajavahemike jooksul.</w:t>
      </w:r>
    </w:p>
    <w:p w14:paraId="1B554D4B" w14:textId="77777777" w:rsidR="00A95E1E" w:rsidRPr="008C5374" w:rsidRDefault="00A95E1E" w:rsidP="008C5374">
      <w:pPr>
        <w:rPr>
          <w:rFonts w:ascii="Times New Roman" w:eastAsia="Times New Roman" w:hAnsi="Times New Roman" w:cs="Times New Roman"/>
          <w:i/>
          <w:sz w:val="24"/>
          <w:szCs w:val="24"/>
        </w:rPr>
      </w:pPr>
    </w:p>
    <w:p w14:paraId="3282E90C" w14:textId="77777777" w:rsidR="00A95E1E" w:rsidRPr="008C5374" w:rsidRDefault="00CE11BC">
      <w:pPr>
        <w:pStyle w:val="BodyText"/>
        <w:spacing w:before="185"/>
        <w:ind w:left="230" w:firstLine="0"/>
        <w:jc w:val="both"/>
        <w:rPr>
          <w:rFonts w:cs="Times New Roman"/>
        </w:rPr>
      </w:pPr>
      <w:r w:rsidRPr="008C5374">
        <w:rPr>
          <w:rFonts w:cs="Times New Roman"/>
        </w:rPr>
        <w:t>Täiendavad märkused:</w:t>
      </w:r>
    </w:p>
    <w:p w14:paraId="6333510A" w14:textId="5337F042" w:rsidR="00A95E1E" w:rsidRPr="008C5374" w:rsidRDefault="00CE11BC">
      <w:pPr>
        <w:pStyle w:val="ListParagraph"/>
        <w:numPr>
          <w:ilvl w:val="0"/>
          <w:numId w:val="3"/>
        </w:numPr>
        <w:tabs>
          <w:tab w:val="left" w:pos="570"/>
        </w:tabs>
        <w:spacing w:before="47" w:line="273" w:lineRule="auto"/>
        <w:ind w:right="275"/>
        <w:jc w:val="both"/>
        <w:rPr>
          <w:rFonts w:ascii="Times New Roman" w:eastAsia="Times New Roman" w:hAnsi="Times New Roman" w:cs="Times New Roman"/>
          <w:sz w:val="24"/>
          <w:szCs w:val="24"/>
        </w:rPr>
      </w:pPr>
      <w:r w:rsidRPr="008C5374">
        <w:rPr>
          <w:rFonts w:ascii="Times New Roman" w:hAnsi="Times New Roman" w:cs="Times New Roman"/>
          <w:sz w:val="24"/>
          <w:szCs w:val="24"/>
        </w:rPr>
        <w:t xml:space="preserve">Teavitage vastavalt </w:t>
      </w:r>
      <w:r w:rsidR="00D86A52" w:rsidRPr="008C5374">
        <w:rPr>
          <w:rFonts w:ascii="Times New Roman" w:hAnsi="Times New Roman" w:cs="Times New Roman"/>
          <w:sz w:val="24"/>
          <w:szCs w:val="24"/>
        </w:rPr>
        <w:t>EPPO</w:t>
      </w:r>
      <w:r w:rsidRPr="008C5374">
        <w:rPr>
          <w:rFonts w:ascii="Times New Roman" w:hAnsi="Times New Roman" w:cs="Times New Roman"/>
          <w:sz w:val="24"/>
          <w:szCs w:val="24"/>
        </w:rPr>
        <w:t xml:space="preserve"> määruse artikli 24 lõigetele 2 ja 4 Euroopa delegaatprokuröri järgnevast: tekitatud või tõenäoliselt tekitatava kahju kirjeldus, kuriteo võimalik õiguslik liigitus, kättesaadav teave võimalike kannatanute, kahtlusaluste ja teiste asjaga seotud isikute kohta.</w:t>
      </w:r>
    </w:p>
    <w:p w14:paraId="42B8EB1D" w14:textId="2DB8C88B" w:rsidR="00A95E1E" w:rsidRPr="008C5374" w:rsidRDefault="00D86A52">
      <w:pPr>
        <w:pStyle w:val="ListParagraph"/>
        <w:numPr>
          <w:ilvl w:val="0"/>
          <w:numId w:val="3"/>
        </w:numPr>
        <w:tabs>
          <w:tab w:val="left" w:pos="570"/>
        </w:tabs>
        <w:spacing w:before="5" w:line="273" w:lineRule="auto"/>
        <w:ind w:right="597"/>
        <w:jc w:val="both"/>
        <w:rPr>
          <w:rFonts w:ascii="Times New Roman" w:eastAsia="Times New Roman" w:hAnsi="Times New Roman" w:cs="Times New Roman"/>
          <w:sz w:val="24"/>
          <w:szCs w:val="24"/>
        </w:rPr>
      </w:pPr>
      <w:r w:rsidRPr="008C5374">
        <w:rPr>
          <w:rFonts w:ascii="Times New Roman" w:hAnsi="Times New Roman" w:cs="Times New Roman"/>
          <w:sz w:val="24"/>
          <w:szCs w:val="24"/>
        </w:rPr>
        <w:t>EPPOt</w:t>
      </w:r>
      <w:r w:rsidR="00CE11BC" w:rsidRPr="008C5374">
        <w:rPr>
          <w:rFonts w:ascii="Times New Roman" w:hAnsi="Times New Roman" w:cs="Times New Roman"/>
          <w:sz w:val="24"/>
          <w:szCs w:val="24"/>
        </w:rPr>
        <w:t xml:space="preserve"> teavitatakse ka siis, kui kahju hindamine ei ole võimalik (</w:t>
      </w:r>
      <w:r w:rsidRPr="008C5374">
        <w:rPr>
          <w:rFonts w:ascii="Times New Roman" w:hAnsi="Times New Roman" w:cs="Times New Roman"/>
          <w:sz w:val="24"/>
          <w:szCs w:val="24"/>
        </w:rPr>
        <w:t>EPPO</w:t>
      </w:r>
      <w:r w:rsidR="00CE11BC" w:rsidRPr="008C5374">
        <w:rPr>
          <w:rFonts w:ascii="Times New Roman" w:hAnsi="Times New Roman" w:cs="Times New Roman"/>
          <w:sz w:val="24"/>
          <w:szCs w:val="24"/>
        </w:rPr>
        <w:t xml:space="preserve"> määruse artikli 24 lõige 5).</w:t>
      </w:r>
    </w:p>
    <w:p w14:paraId="4B208263" w14:textId="7F90B6CA" w:rsidR="00A95E1E" w:rsidRPr="008C5374" w:rsidRDefault="00CE11BC">
      <w:pPr>
        <w:pStyle w:val="ListParagraph"/>
        <w:numPr>
          <w:ilvl w:val="0"/>
          <w:numId w:val="3"/>
        </w:numPr>
        <w:tabs>
          <w:tab w:val="left" w:pos="570"/>
        </w:tabs>
        <w:spacing w:before="5" w:line="273" w:lineRule="auto"/>
        <w:ind w:right="568"/>
        <w:jc w:val="both"/>
        <w:rPr>
          <w:rFonts w:ascii="Times New Roman" w:eastAsia="Times New Roman" w:hAnsi="Times New Roman" w:cs="Times New Roman"/>
          <w:sz w:val="24"/>
          <w:szCs w:val="24"/>
        </w:rPr>
      </w:pPr>
      <w:r w:rsidRPr="008C5374">
        <w:rPr>
          <w:rFonts w:ascii="Times New Roman" w:hAnsi="Times New Roman" w:cs="Times New Roman"/>
          <w:sz w:val="24"/>
        </w:rPr>
        <w:t xml:space="preserve">Pärast sellest teavitamist peab </w:t>
      </w:r>
      <w:r w:rsidR="00D86A52" w:rsidRPr="008C5374">
        <w:rPr>
          <w:rFonts w:ascii="Times New Roman" w:hAnsi="Times New Roman" w:cs="Times New Roman"/>
          <w:sz w:val="24"/>
        </w:rPr>
        <w:t>EPPO</w:t>
      </w:r>
      <w:r w:rsidRPr="008C5374">
        <w:rPr>
          <w:rFonts w:ascii="Times New Roman" w:hAnsi="Times New Roman" w:cs="Times New Roman"/>
          <w:sz w:val="24"/>
        </w:rPr>
        <w:t xml:space="preserve"> otsustama, kas võtta asi menetlusse või mitte. Otsus tuleb teha hiljemalt 5 päeva jooksul (Euroopa peaprokuröri kinnitatud erijuhtudel vastavalt 10 päeva).</w:t>
      </w:r>
    </w:p>
    <w:p w14:paraId="0D57D71F" w14:textId="45D70C64" w:rsidR="00A95E1E" w:rsidRPr="008C5374" w:rsidRDefault="00CE11BC" w:rsidP="006E208E">
      <w:pPr>
        <w:pStyle w:val="ListParagraph"/>
        <w:numPr>
          <w:ilvl w:val="0"/>
          <w:numId w:val="3"/>
        </w:numPr>
        <w:tabs>
          <w:tab w:val="left" w:pos="570"/>
        </w:tabs>
        <w:spacing w:before="3" w:line="273" w:lineRule="auto"/>
        <w:ind w:right="367" w:firstLine="0"/>
        <w:jc w:val="both"/>
        <w:rPr>
          <w:rFonts w:ascii="Times New Roman" w:hAnsi="Times New Roman" w:cs="Times New Roman"/>
        </w:rPr>
      </w:pPr>
      <w:r w:rsidRPr="008C5374">
        <w:rPr>
          <w:rFonts w:ascii="Times New Roman" w:hAnsi="Times New Roman" w:cs="Times New Roman"/>
          <w:sz w:val="24"/>
          <w:szCs w:val="24"/>
        </w:rPr>
        <w:lastRenderedPageBreak/>
        <w:t xml:space="preserve">Siseriiklikud prokurörid peavad hoiduma vahepeal igasugustest edasistest juurdlustest, mis võivad </w:t>
      </w:r>
      <w:r w:rsidR="00D86A52" w:rsidRPr="008C5374">
        <w:rPr>
          <w:rFonts w:ascii="Times New Roman" w:hAnsi="Times New Roman" w:cs="Times New Roman"/>
          <w:sz w:val="24"/>
          <w:szCs w:val="24"/>
        </w:rPr>
        <w:t>EPPO</w:t>
      </w:r>
      <w:r w:rsidRPr="008C5374">
        <w:rPr>
          <w:rFonts w:ascii="Times New Roman" w:hAnsi="Times New Roman" w:cs="Times New Roman"/>
          <w:sz w:val="24"/>
          <w:szCs w:val="24"/>
        </w:rPr>
        <w:t xml:space="preserve"> otsust kahjustada (välja arvatud kiireloomulised meetmed). Seda ei kohaldata, kui </w:t>
      </w:r>
      <w:r w:rsidR="00D86A52" w:rsidRPr="008C5374">
        <w:rPr>
          <w:rFonts w:ascii="Times New Roman" w:hAnsi="Times New Roman" w:cs="Times New Roman"/>
          <w:sz w:val="24"/>
          <w:szCs w:val="24"/>
        </w:rPr>
        <w:t>EPPO</w:t>
      </w:r>
      <w:r w:rsidRPr="008C5374">
        <w:rPr>
          <w:rFonts w:ascii="Times New Roman" w:hAnsi="Times New Roman" w:cs="Times New Roman"/>
          <w:sz w:val="24"/>
          <w:szCs w:val="24"/>
        </w:rPr>
        <w:t xml:space="preserve"> ületab tähtaegu (vt </w:t>
      </w:r>
      <w:r w:rsidR="00D86A52" w:rsidRPr="008C5374">
        <w:rPr>
          <w:rFonts w:ascii="Times New Roman" w:hAnsi="Times New Roman" w:cs="Times New Roman"/>
          <w:sz w:val="24"/>
          <w:szCs w:val="24"/>
        </w:rPr>
        <w:t>EPPO</w:t>
      </w:r>
      <w:r w:rsidRPr="008C5374">
        <w:rPr>
          <w:rFonts w:ascii="Times New Roman" w:hAnsi="Times New Roman" w:cs="Times New Roman"/>
          <w:sz w:val="24"/>
          <w:szCs w:val="24"/>
        </w:rPr>
        <w:t xml:space="preserve"> määruse artikli 27 lõige 2: “lõikes 1 osutatud aja jooksul</w:t>
      </w:r>
      <w:r w:rsidR="006E208E" w:rsidRPr="008C5374">
        <w:rPr>
          <w:rFonts w:ascii="Times New Roman" w:hAnsi="Times New Roman" w:cs="Times New Roman"/>
          <w:sz w:val="24"/>
          <w:szCs w:val="24"/>
        </w:rPr>
        <w:t xml:space="preserve"> ...“</w:t>
      </w:r>
      <w:r w:rsidRPr="008C5374">
        <w:rPr>
          <w:rFonts w:ascii="Times New Roman" w:hAnsi="Times New Roman" w:cs="Times New Roman"/>
        </w:rPr>
        <w:t>).</w:t>
      </w:r>
    </w:p>
    <w:p w14:paraId="7DE469EB" w14:textId="77777777" w:rsidR="00A95E1E" w:rsidRPr="008C5374" w:rsidRDefault="00A95E1E">
      <w:pPr>
        <w:spacing w:before="4"/>
        <w:rPr>
          <w:rFonts w:ascii="Times New Roman" w:eastAsia="Times New Roman" w:hAnsi="Times New Roman" w:cs="Times New Roman"/>
          <w:sz w:val="24"/>
          <w:szCs w:val="24"/>
        </w:rPr>
      </w:pPr>
    </w:p>
    <w:p w14:paraId="3EC05C46" w14:textId="609F8470" w:rsidR="00A95E1E" w:rsidRPr="008C5374" w:rsidRDefault="00CE11BC">
      <w:pPr>
        <w:pStyle w:val="Heading1"/>
        <w:spacing w:line="276" w:lineRule="auto"/>
        <w:ind w:right="367"/>
        <w:rPr>
          <w:rFonts w:cs="Times New Roman"/>
          <w:b w:val="0"/>
          <w:bCs w:val="0"/>
        </w:rPr>
      </w:pPr>
      <w:bookmarkStart w:id="1" w:name="Q4._If_an_argument_arises_that_EPPO_is_n"/>
      <w:bookmarkEnd w:id="1"/>
      <w:r w:rsidRPr="008C5374">
        <w:rPr>
          <w:rFonts w:cs="Times New Roman"/>
        </w:rPr>
        <w:t xml:space="preserve">Q4. Kui tekib vaidlus, et </w:t>
      </w:r>
      <w:r w:rsidR="00D86A52" w:rsidRPr="008C5374">
        <w:rPr>
          <w:rFonts w:cs="Times New Roman"/>
        </w:rPr>
        <w:t>EPPO</w:t>
      </w:r>
      <w:r w:rsidRPr="008C5374">
        <w:rPr>
          <w:rFonts w:cs="Times New Roman"/>
        </w:rPr>
        <w:t xml:space="preserve"> ei ole A ja B juhtumiga seoses pädev, kuna</w:t>
      </w:r>
    </w:p>
    <w:p w14:paraId="74A0C5AA" w14:textId="77777777" w:rsidR="00A95E1E" w:rsidRPr="008C5374" w:rsidRDefault="00CE11BC">
      <w:pPr>
        <w:pStyle w:val="ListParagraph"/>
        <w:numPr>
          <w:ilvl w:val="1"/>
          <w:numId w:val="3"/>
        </w:numPr>
        <w:tabs>
          <w:tab w:val="left" w:pos="1117"/>
        </w:tabs>
        <w:spacing w:before="37"/>
        <w:ind w:firstLine="677"/>
        <w:rPr>
          <w:rFonts w:ascii="Times New Roman" w:eastAsia="Times New Roman" w:hAnsi="Times New Roman" w:cs="Times New Roman"/>
          <w:sz w:val="24"/>
          <w:szCs w:val="24"/>
        </w:rPr>
      </w:pPr>
      <w:r w:rsidRPr="008C5374">
        <w:rPr>
          <w:rFonts w:ascii="Times New Roman" w:hAnsi="Times New Roman" w:cs="Times New Roman"/>
          <w:b/>
          <w:bCs/>
          <w:sz w:val="24"/>
          <w:szCs w:val="24"/>
        </w:rPr>
        <w:t>ELi finantshuvidele ei tekitatud finantsalast kahju või</w:t>
      </w:r>
    </w:p>
    <w:p w14:paraId="212AD350" w14:textId="77777777" w:rsidR="008C5374" w:rsidRPr="008C5374" w:rsidRDefault="00CE11BC">
      <w:pPr>
        <w:pStyle w:val="ListParagraph"/>
        <w:numPr>
          <w:ilvl w:val="1"/>
          <w:numId w:val="3"/>
        </w:numPr>
        <w:tabs>
          <w:tab w:val="left" w:pos="1117"/>
        </w:tabs>
        <w:spacing w:before="77" w:line="309" w:lineRule="auto"/>
        <w:ind w:right="3251" w:firstLine="677"/>
        <w:rPr>
          <w:rFonts w:ascii="Times New Roman" w:eastAsia="Times New Roman" w:hAnsi="Times New Roman" w:cs="Times New Roman"/>
          <w:sz w:val="24"/>
          <w:szCs w:val="24"/>
        </w:rPr>
      </w:pPr>
      <w:r w:rsidRPr="008C5374">
        <w:rPr>
          <w:rFonts w:ascii="Times New Roman" w:hAnsi="Times New Roman" w:cs="Times New Roman"/>
          <w:b/>
          <w:sz w:val="24"/>
        </w:rPr>
        <w:t>rahaline kahju on alla 10 000 euro.</w:t>
      </w:r>
    </w:p>
    <w:p w14:paraId="56CBFB99" w14:textId="1BD6F968" w:rsidR="00A95E1E" w:rsidRPr="008C5374" w:rsidRDefault="00CE11BC" w:rsidP="008C5374">
      <w:pPr>
        <w:tabs>
          <w:tab w:val="left" w:pos="1117"/>
        </w:tabs>
        <w:spacing w:before="77" w:line="309" w:lineRule="auto"/>
        <w:ind w:left="101" w:right="3251"/>
        <w:rPr>
          <w:rFonts w:ascii="Times New Roman" w:eastAsia="Times New Roman" w:hAnsi="Times New Roman" w:cs="Times New Roman"/>
          <w:sz w:val="24"/>
          <w:szCs w:val="24"/>
        </w:rPr>
      </w:pPr>
      <w:r w:rsidRPr="008C5374">
        <w:rPr>
          <w:rFonts w:ascii="Times New Roman" w:hAnsi="Times New Roman" w:cs="Times New Roman"/>
          <w:b/>
          <w:sz w:val="24"/>
        </w:rPr>
        <w:t>Kuidas sellised eriarvamused lahendada?</w:t>
      </w:r>
    </w:p>
    <w:p w14:paraId="6A800BB3" w14:textId="77777777" w:rsidR="00A95E1E" w:rsidRPr="008C5374" w:rsidRDefault="00A95E1E">
      <w:pPr>
        <w:spacing w:before="5"/>
        <w:rPr>
          <w:rFonts w:ascii="Times New Roman" w:eastAsia="Times New Roman" w:hAnsi="Times New Roman" w:cs="Times New Roman"/>
          <w:b/>
          <w:bCs/>
          <w:sz w:val="24"/>
          <w:szCs w:val="24"/>
        </w:rPr>
      </w:pPr>
    </w:p>
    <w:p w14:paraId="4D4DBA2D" w14:textId="77777777" w:rsidR="00A95E1E" w:rsidRPr="008C5374" w:rsidRDefault="00CE11BC">
      <w:pPr>
        <w:ind w:left="230"/>
        <w:jc w:val="both"/>
        <w:rPr>
          <w:rFonts w:ascii="Times New Roman" w:eastAsia="Times New Roman" w:hAnsi="Times New Roman" w:cs="Times New Roman"/>
          <w:sz w:val="24"/>
          <w:szCs w:val="24"/>
        </w:rPr>
      </w:pPr>
      <w:r w:rsidRPr="008C5374">
        <w:rPr>
          <w:rFonts w:ascii="Times New Roman" w:hAnsi="Times New Roman" w:cs="Times New Roman"/>
          <w:i/>
          <w:sz w:val="24"/>
        </w:rPr>
        <w:t>Märkus koolitajale:</w:t>
      </w:r>
    </w:p>
    <w:p w14:paraId="36DE654C" w14:textId="4EE12476" w:rsidR="00A95E1E" w:rsidRPr="008C5374" w:rsidRDefault="00CE11BC" w:rsidP="008C5374">
      <w:pPr>
        <w:spacing w:before="175" w:line="276" w:lineRule="auto"/>
        <w:ind w:left="230" w:right="332"/>
        <w:jc w:val="both"/>
        <w:rPr>
          <w:rFonts w:ascii="Times New Roman" w:eastAsia="Times New Roman" w:hAnsi="Times New Roman" w:cs="Times New Roman"/>
          <w:sz w:val="24"/>
          <w:szCs w:val="24"/>
        </w:rPr>
      </w:pPr>
      <w:r w:rsidRPr="008C5374">
        <w:rPr>
          <w:rFonts w:ascii="Times New Roman" w:hAnsi="Times New Roman" w:cs="Times New Roman"/>
          <w:i/>
          <w:sz w:val="24"/>
        </w:rPr>
        <w:t xml:space="preserve">Selle osa eesmärk on arutada </w:t>
      </w:r>
      <w:r w:rsidR="00D86A52" w:rsidRPr="008C5374">
        <w:rPr>
          <w:rFonts w:ascii="Times New Roman" w:hAnsi="Times New Roman" w:cs="Times New Roman"/>
          <w:i/>
          <w:sz w:val="24"/>
        </w:rPr>
        <w:t>EPPO</w:t>
      </w:r>
      <w:r w:rsidRPr="008C5374">
        <w:rPr>
          <w:rFonts w:ascii="Times New Roman" w:hAnsi="Times New Roman" w:cs="Times New Roman"/>
          <w:i/>
          <w:sz w:val="24"/>
        </w:rPr>
        <w:t xml:space="preserve"> ja siseriiklike ametiasutuste vaheliste erimeelsuste lahendamist. Kohalolijatele on oluline teada, et</w:t>
      </w:r>
      <w:r w:rsidR="008C5374" w:rsidRPr="008C5374">
        <w:rPr>
          <w:rFonts w:ascii="Times New Roman" w:hAnsi="Times New Roman" w:cs="Times New Roman"/>
          <w:i/>
          <w:sz w:val="24"/>
        </w:rPr>
        <w:t xml:space="preserve"> </w:t>
      </w:r>
      <w:r w:rsidR="00D86A52" w:rsidRPr="008C5374">
        <w:rPr>
          <w:rFonts w:ascii="Times New Roman" w:hAnsi="Times New Roman" w:cs="Times New Roman"/>
          <w:i/>
          <w:sz w:val="24"/>
          <w:szCs w:val="24"/>
        </w:rPr>
        <w:t>EPPO</w:t>
      </w:r>
      <w:r w:rsidRPr="008C5374">
        <w:rPr>
          <w:rFonts w:ascii="Times New Roman" w:hAnsi="Times New Roman" w:cs="Times New Roman"/>
          <w:i/>
          <w:sz w:val="24"/>
          <w:szCs w:val="24"/>
        </w:rPr>
        <w:t xml:space="preserve"> määruse artikli 25 lõige 6 sätestab, et selliste küsimuste üle on peamiselt pädevad otsustama siseriiklikud ametiasutused.</w:t>
      </w:r>
      <w:r w:rsidR="00956270" w:rsidRPr="008C5374">
        <w:rPr>
          <w:rFonts w:ascii="Times New Roman" w:hAnsi="Times New Roman" w:cs="Times New Roman"/>
          <w:i/>
          <w:sz w:val="24"/>
          <w:szCs w:val="24"/>
        </w:rPr>
        <w:t xml:space="preserve"> </w:t>
      </w:r>
      <w:r w:rsidRPr="008C5374">
        <w:rPr>
          <w:rFonts w:ascii="Times New Roman" w:hAnsi="Times New Roman" w:cs="Times New Roman"/>
          <w:i/>
          <w:sz w:val="24"/>
          <w:szCs w:val="24"/>
        </w:rPr>
        <w:t xml:space="preserve">Kuid see säte kehtib ainult küsimustes, kas kuritegu kuulub </w:t>
      </w:r>
      <w:r w:rsidR="00D86A52" w:rsidRPr="008C5374">
        <w:rPr>
          <w:rFonts w:ascii="Times New Roman" w:hAnsi="Times New Roman" w:cs="Times New Roman"/>
          <w:i/>
          <w:sz w:val="24"/>
          <w:szCs w:val="24"/>
        </w:rPr>
        <w:t>EPPO</w:t>
      </w:r>
      <w:r w:rsidRPr="008C5374">
        <w:rPr>
          <w:rFonts w:ascii="Times New Roman" w:hAnsi="Times New Roman" w:cs="Times New Roman"/>
          <w:i/>
          <w:sz w:val="24"/>
          <w:szCs w:val="24"/>
        </w:rPr>
        <w:t xml:space="preserve"> määruse artikli </w:t>
      </w:r>
      <w:r w:rsidRPr="008C5374">
        <w:rPr>
          <w:rFonts w:ascii="Times New Roman" w:hAnsi="Times New Roman" w:cs="Times New Roman"/>
          <w:i/>
          <w:sz w:val="24"/>
          <w:szCs w:val="24"/>
          <w:u w:val="single" w:color="000000"/>
        </w:rPr>
        <w:t>22 lõigete 2 või 3</w:t>
      </w:r>
      <w:r w:rsidRPr="008C5374">
        <w:rPr>
          <w:rFonts w:ascii="Times New Roman" w:hAnsi="Times New Roman" w:cs="Times New Roman"/>
          <w:i/>
          <w:sz w:val="24"/>
          <w:szCs w:val="24"/>
        </w:rPr>
        <w:t xml:space="preserve"> või artikli </w:t>
      </w:r>
      <w:r w:rsidRPr="008C5374">
        <w:rPr>
          <w:rFonts w:ascii="Times New Roman" w:hAnsi="Times New Roman" w:cs="Times New Roman"/>
          <w:i/>
          <w:sz w:val="24"/>
          <w:szCs w:val="24"/>
          <w:u w:val="single" w:color="000000"/>
        </w:rPr>
        <w:t>25 lõigete 2 või 3</w:t>
      </w:r>
      <w:r w:rsidR="00956270" w:rsidRPr="008C5374">
        <w:rPr>
          <w:rFonts w:ascii="Times New Roman" w:hAnsi="Times New Roman" w:cs="Times New Roman"/>
          <w:i/>
          <w:sz w:val="24"/>
          <w:szCs w:val="24"/>
        </w:rPr>
        <w:t xml:space="preserve"> </w:t>
      </w:r>
      <w:r w:rsidRPr="008C5374">
        <w:rPr>
          <w:rFonts w:ascii="Times New Roman" w:hAnsi="Times New Roman" w:cs="Times New Roman"/>
          <w:i/>
          <w:sz w:val="24"/>
          <w:szCs w:val="24"/>
        </w:rPr>
        <w:t xml:space="preserve">kohaldamisalasse. Kui juhtum kuulub </w:t>
      </w:r>
      <w:r w:rsidR="00D86A52" w:rsidRPr="008C5374">
        <w:rPr>
          <w:rFonts w:ascii="Times New Roman" w:hAnsi="Times New Roman" w:cs="Times New Roman"/>
          <w:i/>
          <w:sz w:val="24"/>
          <w:szCs w:val="24"/>
        </w:rPr>
        <w:t>EPPO</w:t>
      </w:r>
      <w:r w:rsidRPr="008C5374">
        <w:rPr>
          <w:rFonts w:ascii="Times New Roman" w:hAnsi="Times New Roman" w:cs="Times New Roman"/>
          <w:i/>
          <w:sz w:val="24"/>
          <w:szCs w:val="24"/>
        </w:rPr>
        <w:t xml:space="preserve"> määruse artikli </w:t>
      </w:r>
      <w:r w:rsidRPr="008C5374">
        <w:rPr>
          <w:rFonts w:ascii="Times New Roman" w:hAnsi="Times New Roman" w:cs="Times New Roman"/>
          <w:i/>
          <w:sz w:val="24"/>
          <w:szCs w:val="24"/>
          <w:u w:val="single" w:color="000000"/>
        </w:rPr>
        <w:t>22 lõike 1</w:t>
      </w:r>
      <w:r w:rsidRPr="008C5374">
        <w:rPr>
          <w:rFonts w:ascii="Times New Roman" w:hAnsi="Times New Roman" w:cs="Times New Roman"/>
          <w:i/>
          <w:sz w:val="24"/>
          <w:szCs w:val="24"/>
        </w:rPr>
        <w:t xml:space="preserve"> reguleerimisalasse, võib tekkida arutelu, kuidas saaks erimeelsusi lahendada.</w:t>
      </w:r>
    </w:p>
    <w:p w14:paraId="0CE0DDAB" w14:textId="77777777" w:rsidR="00A95E1E" w:rsidRPr="008C5374" w:rsidRDefault="00A95E1E">
      <w:pPr>
        <w:rPr>
          <w:rFonts w:ascii="Times New Roman" w:eastAsia="Times New Roman" w:hAnsi="Times New Roman" w:cs="Times New Roman"/>
          <w:i/>
          <w:sz w:val="20"/>
          <w:szCs w:val="20"/>
        </w:rPr>
      </w:pPr>
    </w:p>
    <w:p w14:paraId="2BAB04A9" w14:textId="77777777" w:rsidR="00A95E1E" w:rsidRPr="008C5374" w:rsidRDefault="00CE11BC">
      <w:pPr>
        <w:pStyle w:val="BodyText"/>
        <w:ind w:left="230" w:right="367" w:firstLine="0"/>
        <w:rPr>
          <w:rFonts w:cs="Times New Roman"/>
        </w:rPr>
      </w:pPr>
      <w:r w:rsidRPr="008C5374">
        <w:rPr>
          <w:rFonts w:cs="Times New Roman"/>
        </w:rPr>
        <w:t>Täiendavad märkused:</w:t>
      </w:r>
    </w:p>
    <w:p w14:paraId="64649E6D" w14:textId="08D84049" w:rsidR="00A95E1E" w:rsidRPr="008C5374" w:rsidRDefault="00CE11BC" w:rsidP="00D86A52">
      <w:pPr>
        <w:pStyle w:val="ListParagraph"/>
        <w:numPr>
          <w:ilvl w:val="0"/>
          <w:numId w:val="1"/>
        </w:numPr>
        <w:tabs>
          <w:tab w:val="left" w:pos="901"/>
        </w:tabs>
        <w:spacing w:before="40" w:line="273" w:lineRule="auto"/>
        <w:ind w:right="367" w:hanging="333"/>
        <w:jc w:val="both"/>
        <w:rPr>
          <w:rFonts w:ascii="Times New Roman" w:hAnsi="Times New Roman" w:cs="Times New Roman"/>
        </w:rPr>
      </w:pPr>
      <w:r w:rsidRPr="008C5374">
        <w:rPr>
          <w:rFonts w:ascii="Times New Roman" w:hAnsi="Times New Roman" w:cs="Times New Roman"/>
          <w:sz w:val="24"/>
          <w:szCs w:val="24"/>
        </w:rPr>
        <w:t xml:space="preserve">Juhtum a: </w:t>
      </w:r>
      <w:r w:rsidR="008C5374" w:rsidRPr="008C5374">
        <w:rPr>
          <w:rFonts w:ascii="Times New Roman" w:hAnsi="Times New Roman" w:cs="Times New Roman"/>
          <w:sz w:val="24"/>
          <w:szCs w:val="24"/>
        </w:rPr>
        <w:t>e</w:t>
      </w:r>
      <w:r w:rsidRPr="008C5374">
        <w:rPr>
          <w:rFonts w:ascii="Times New Roman" w:hAnsi="Times New Roman" w:cs="Times New Roman"/>
          <w:sz w:val="24"/>
          <w:szCs w:val="24"/>
        </w:rPr>
        <w:t xml:space="preserve">riarvamus puudutab küsimust, kas kuritegu kuulub </w:t>
      </w:r>
      <w:r w:rsidR="00D86A52" w:rsidRPr="008C5374">
        <w:rPr>
          <w:rFonts w:ascii="Times New Roman" w:hAnsi="Times New Roman" w:cs="Times New Roman"/>
          <w:sz w:val="24"/>
          <w:szCs w:val="24"/>
        </w:rPr>
        <w:t>EPPO</w:t>
      </w:r>
      <w:r w:rsidRPr="008C5374">
        <w:rPr>
          <w:rFonts w:ascii="Times New Roman" w:hAnsi="Times New Roman" w:cs="Times New Roman"/>
          <w:sz w:val="24"/>
          <w:szCs w:val="24"/>
        </w:rPr>
        <w:t xml:space="preserve"> määruse artikli 22 lõike 1 reguleerimisalasse. Seetõttu määruse artikli 25 lõiget 6 ei kohaldata. See, kas rahaline kahju on tekkinud või mitte, oleneb </w:t>
      </w:r>
      <w:r w:rsidR="00D86A52" w:rsidRPr="008C5374">
        <w:rPr>
          <w:rFonts w:ascii="Times New Roman" w:hAnsi="Times New Roman" w:cs="Times New Roman"/>
          <w:sz w:val="24"/>
          <w:szCs w:val="24"/>
        </w:rPr>
        <w:t>EPPO</w:t>
      </w:r>
      <w:r w:rsidRPr="008C5374">
        <w:rPr>
          <w:rFonts w:ascii="Times New Roman" w:hAnsi="Times New Roman" w:cs="Times New Roman"/>
          <w:sz w:val="24"/>
          <w:szCs w:val="24"/>
        </w:rPr>
        <w:t xml:space="preserve"> hinnangust. Kui jah, võib E</w:t>
      </w:r>
      <w:r w:rsidR="00D86A52" w:rsidRPr="008C5374">
        <w:rPr>
          <w:rFonts w:ascii="Times New Roman" w:hAnsi="Times New Roman" w:cs="Times New Roman"/>
          <w:sz w:val="24"/>
          <w:szCs w:val="24"/>
        </w:rPr>
        <w:t xml:space="preserve">PPO </w:t>
      </w:r>
      <w:r w:rsidRPr="008C5374">
        <w:rPr>
          <w:rFonts w:ascii="Times New Roman" w:hAnsi="Times New Roman" w:cs="Times New Roman"/>
          <w:sz w:val="24"/>
          <w:szCs w:val="24"/>
        </w:rPr>
        <w:t>kasutada oma pädevust menetluse alustamise näol, kui ei, võib ta sellisest tegevusest hoiduda.</w:t>
      </w:r>
    </w:p>
    <w:p w14:paraId="031E9EE2" w14:textId="77777777" w:rsidR="00A95E1E" w:rsidRPr="008C5374" w:rsidRDefault="00A95E1E">
      <w:pPr>
        <w:rPr>
          <w:rFonts w:ascii="Times New Roman" w:eastAsia="Times New Roman" w:hAnsi="Times New Roman" w:cs="Times New Roman"/>
        </w:rPr>
      </w:pPr>
    </w:p>
    <w:p w14:paraId="5263B009" w14:textId="575CBABE" w:rsidR="00A95E1E" w:rsidRPr="008C5374" w:rsidRDefault="00CE11BC">
      <w:pPr>
        <w:pStyle w:val="ListParagraph"/>
        <w:numPr>
          <w:ilvl w:val="0"/>
          <w:numId w:val="1"/>
        </w:numPr>
        <w:tabs>
          <w:tab w:val="left" w:pos="901"/>
        </w:tabs>
        <w:spacing w:line="273" w:lineRule="auto"/>
        <w:ind w:right="437"/>
        <w:jc w:val="both"/>
        <w:rPr>
          <w:rFonts w:ascii="Times New Roman" w:eastAsia="Times New Roman" w:hAnsi="Times New Roman" w:cs="Times New Roman"/>
          <w:sz w:val="24"/>
          <w:szCs w:val="24"/>
        </w:rPr>
      </w:pPr>
      <w:r w:rsidRPr="008C5374">
        <w:rPr>
          <w:rFonts w:ascii="Times New Roman" w:hAnsi="Times New Roman" w:cs="Times New Roman"/>
          <w:sz w:val="24"/>
          <w:szCs w:val="24"/>
        </w:rPr>
        <w:t xml:space="preserve">Juhtum b: vastav siseriiklik asutus võib eriarvamuse lahendada, kuna </w:t>
      </w:r>
      <w:r w:rsidR="00D86A52" w:rsidRPr="008C5374">
        <w:rPr>
          <w:rFonts w:ascii="Times New Roman" w:hAnsi="Times New Roman" w:cs="Times New Roman"/>
          <w:sz w:val="24"/>
          <w:szCs w:val="24"/>
        </w:rPr>
        <w:t>EPPO</w:t>
      </w:r>
      <w:r w:rsidRPr="008C5374">
        <w:rPr>
          <w:rFonts w:ascii="Times New Roman" w:hAnsi="Times New Roman" w:cs="Times New Roman"/>
          <w:sz w:val="24"/>
          <w:szCs w:val="24"/>
        </w:rPr>
        <w:t xml:space="preserve"> määruse artikli 25 lõike 2 kohaldamisala on kahtluse all. Kuna liidu teenistujaid kahtlustatakse kuriteo toimepanemises, tuleks otsus langetada </w:t>
      </w:r>
      <w:r w:rsidR="00D86A52" w:rsidRPr="008C5374">
        <w:rPr>
          <w:rFonts w:ascii="Times New Roman" w:hAnsi="Times New Roman" w:cs="Times New Roman"/>
          <w:sz w:val="24"/>
          <w:szCs w:val="24"/>
        </w:rPr>
        <w:t>EPPO</w:t>
      </w:r>
      <w:r w:rsidRPr="008C5374">
        <w:rPr>
          <w:rFonts w:ascii="Times New Roman" w:hAnsi="Times New Roman" w:cs="Times New Roman"/>
          <w:sz w:val="24"/>
          <w:szCs w:val="24"/>
        </w:rPr>
        <w:t xml:space="preserve"> kasuks.</w:t>
      </w:r>
    </w:p>
    <w:p w14:paraId="55653757" w14:textId="77777777" w:rsidR="00A95E1E" w:rsidRPr="008C5374" w:rsidRDefault="00A95E1E">
      <w:pPr>
        <w:rPr>
          <w:rFonts w:ascii="Times New Roman" w:eastAsia="Times New Roman" w:hAnsi="Times New Roman" w:cs="Times New Roman"/>
        </w:rPr>
      </w:pPr>
    </w:p>
    <w:p w14:paraId="19507857" w14:textId="77777777" w:rsidR="00A95E1E" w:rsidRPr="008C5374" w:rsidRDefault="00CE11BC">
      <w:pPr>
        <w:pStyle w:val="Heading1"/>
        <w:spacing w:before="145" w:line="276" w:lineRule="auto"/>
        <w:ind w:right="367"/>
        <w:rPr>
          <w:rFonts w:cs="Times New Roman"/>
          <w:b w:val="0"/>
          <w:bCs w:val="0"/>
        </w:rPr>
      </w:pPr>
      <w:bookmarkStart w:id="2" w:name="Q5._Can_the_EDP_decide_not_to_evocate_th"/>
      <w:bookmarkEnd w:id="2"/>
      <w:r w:rsidRPr="008C5374">
        <w:rPr>
          <w:rFonts w:cs="Times New Roman"/>
        </w:rPr>
        <w:t>Q5. Kas Euroopa delegaatprokurör võib otsustada mitte algatada A ja B vastu hagi, kui kahju (või tõenäoline kahju) ELi finantshuvidele on väiksem kui</w:t>
      </w:r>
    </w:p>
    <w:p w14:paraId="3F2561E5" w14:textId="77777777" w:rsidR="00A95E1E" w:rsidRPr="008C5374" w:rsidRDefault="00CE11BC">
      <w:pPr>
        <w:spacing w:before="1"/>
        <w:ind w:left="1246" w:right="367"/>
        <w:rPr>
          <w:rFonts w:ascii="Times New Roman" w:eastAsia="Times New Roman" w:hAnsi="Times New Roman" w:cs="Times New Roman"/>
          <w:sz w:val="24"/>
          <w:szCs w:val="24"/>
        </w:rPr>
      </w:pPr>
      <w:r w:rsidRPr="008C5374">
        <w:rPr>
          <w:rFonts w:ascii="Times New Roman" w:hAnsi="Times New Roman" w:cs="Times New Roman"/>
          <w:b/>
          <w:sz w:val="24"/>
        </w:rPr>
        <w:t>a. 100 000 eurot?</w:t>
      </w:r>
    </w:p>
    <w:p w14:paraId="18296230" w14:textId="77777777" w:rsidR="00A95E1E" w:rsidRPr="008C5374" w:rsidRDefault="00CE11BC">
      <w:pPr>
        <w:spacing w:before="188"/>
        <w:ind w:left="1246" w:right="367"/>
        <w:rPr>
          <w:rFonts w:ascii="Times New Roman" w:eastAsia="Times New Roman" w:hAnsi="Times New Roman" w:cs="Times New Roman"/>
          <w:sz w:val="24"/>
          <w:szCs w:val="24"/>
        </w:rPr>
      </w:pPr>
      <w:r w:rsidRPr="008C5374">
        <w:rPr>
          <w:rFonts w:ascii="Times New Roman" w:hAnsi="Times New Roman" w:cs="Times New Roman"/>
          <w:b/>
          <w:sz w:val="24"/>
        </w:rPr>
        <w:t>b. 10 000 eurot?</w:t>
      </w:r>
    </w:p>
    <w:p w14:paraId="06A896AB" w14:textId="77777777" w:rsidR="00A95E1E" w:rsidRPr="008C5374" w:rsidRDefault="00CE11BC">
      <w:pPr>
        <w:spacing w:before="185"/>
        <w:ind w:left="230"/>
        <w:jc w:val="both"/>
        <w:rPr>
          <w:rFonts w:ascii="Times New Roman" w:eastAsia="Times New Roman" w:hAnsi="Times New Roman" w:cs="Times New Roman"/>
          <w:sz w:val="24"/>
          <w:szCs w:val="24"/>
        </w:rPr>
      </w:pPr>
      <w:r w:rsidRPr="008C5374">
        <w:rPr>
          <w:rFonts w:ascii="Times New Roman" w:hAnsi="Times New Roman" w:cs="Times New Roman"/>
          <w:i/>
          <w:sz w:val="24"/>
        </w:rPr>
        <w:t>Märkus koolitajale</w:t>
      </w:r>
    </w:p>
    <w:p w14:paraId="0CA8DFB0" w14:textId="77777777" w:rsidR="00A95E1E" w:rsidRPr="008C5374" w:rsidRDefault="00CE11BC">
      <w:pPr>
        <w:spacing w:before="50"/>
        <w:ind w:left="230"/>
        <w:jc w:val="both"/>
        <w:rPr>
          <w:rFonts w:ascii="Times New Roman" w:eastAsia="Times New Roman" w:hAnsi="Times New Roman" w:cs="Times New Roman"/>
          <w:sz w:val="24"/>
          <w:szCs w:val="24"/>
        </w:rPr>
      </w:pPr>
      <w:r w:rsidRPr="008C5374">
        <w:rPr>
          <w:rFonts w:ascii="Times New Roman" w:hAnsi="Times New Roman" w:cs="Times New Roman"/>
          <w:i/>
          <w:sz w:val="24"/>
        </w:rPr>
        <w:t>See on vaid vahepealne küsimus, mille võib täiendavalt tõstatada, kui selleks on aega.</w:t>
      </w:r>
    </w:p>
    <w:p w14:paraId="459A13F1" w14:textId="77777777" w:rsidR="00A95E1E" w:rsidRPr="008C5374" w:rsidRDefault="00A95E1E">
      <w:pPr>
        <w:spacing w:before="4"/>
        <w:rPr>
          <w:rFonts w:ascii="Times New Roman" w:eastAsia="Times New Roman" w:hAnsi="Times New Roman" w:cs="Times New Roman"/>
          <w:i/>
          <w:sz w:val="28"/>
          <w:szCs w:val="28"/>
        </w:rPr>
      </w:pPr>
    </w:p>
    <w:p w14:paraId="42FBD673" w14:textId="77777777" w:rsidR="00A95E1E" w:rsidRPr="008C5374" w:rsidRDefault="00CE11BC">
      <w:pPr>
        <w:ind w:left="230"/>
        <w:jc w:val="both"/>
        <w:rPr>
          <w:rFonts w:ascii="Times New Roman" w:eastAsia="Times New Roman" w:hAnsi="Times New Roman" w:cs="Times New Roman"/>
          <w:sz w:val="24"/>
          <w:szCs w:val="24"/>
        </w:rPr>
      </w:pPr>
      <w:r w:rsidRPr="008C5374">
        <w:rPr>
          <w:rFonts w:ascii="Times New Roman" w:hAnsi="Times New Roman" w:cs="Times New Roman"/>
          <w:i/>
          <w:sz w:val="24"/>
        </w:rPr>
        <w:t>Täiendavad märkused:</w:t>
      </w:r>
    </w:p>
    <w:p w14:paraId="525EC1B5" w14:textId="5C8D538B" w:rsidR="00A95E1E" w:rsidRPr="008C5374" w:rsidRDefault="00CE11BC">
      <w:pPr>
        <w:pStyle w:val="ListParagraph"/>
        <w:numPr>
          <w:ilvl w:val="1"/>
          <w:numId w:val="1"/>
        </w:numPr>
        <w:tabs>
          <w:tab w:val="left" w:pos="1628"/>
        </w:tabs>
        <w:spacing w:before="50" w:line="273" w:lineRule="auto"/>
        <w:ind w:right="347"/>
        <w:jc w:val="both"/>
        <w:rPr>
          <w:rFonts w:ascii="Times New Roman" w:eastAsia="Times New Roman" w:hAnsi="Times New Roman" w:cs="Times New Roman"/>
          <w:sz w:val="24"/>
          <w:szCs w:val="24"/>
        </w:rPr>
      </w:pPr>
      <w:r w:rsidRPr="008C5374">
        <w:rPr>
          <w:rFonts w:ascii="Times New Roman" w:hAnsi="Times New Roman" w:cs="Times New Roman"/>
          <w:i/>
          <w:sz w:val="24"/>
          <w:szCs w:val="24"/>
        </w:rPr>
        <w:t xml:space="preserve">Euroopa delegaatprokurör võib </w:t>
      </w:r>
      <w:r w:rsidR="00D86A52" w:rsidRPr="008C5374">
        <w:rPr>
          <w:rFonts w:ascii="Times New Roman" w:hAnsi="Times New Roman" w:cs="Times New Roman"/>
          <w:i/>
          <w:sz w:val="24"/>
          <w:szCs w:val="24"/>
        </w:rPr>
        <w:t>EPPO</w:t>
      </w:r>
      <w:r w:rsidRPr="008C5374">
        <w:rPr>
          <w:rFonts w:ascii="Times New Roman" w:hAnsi="Times New Roman" w:cs="Times New Roman"/>
          <w:i/>
          <w:sz w:val="24"/>
          <w:szCs w:val="24"/>
        </w:rPr>
        <w:t xml:space="preserve"> määruse artikli 27 lõike 8 </w:t>
      </w:r>
      <w:r w:rsidRPr="008C5374">
        <w:rPr>
          <w:rFonts w:ascii="Times New Roman" w:hAnsi="Times New Roman" w:cs="Times New Roman"/>
          <w:i/>
          <w:sz w:val="24"/>
          <w:szCs w:val="24"/>
        </w:rPr>
        <w:lastRenderedPageBreak/>
        <w:t>kohaselt mõlemal juhul loobuda oma evokatsiooniõiguse kasutamisest, kui kolleegium on välja andnud konkreetsed suunised.</w:t>
      </w:r>
    </w:p>
    <w:p w14:paraId="183A24FB" w14:textId="77777777" w:rsidR="00A95E1E" w:rsidRPr="008C5374" w:rsidRDefault="00A95E1E">
      <w:pPr>
        <w:rPr>
          <w:rFonts w:ascii="Times New Roman" w:eastAsia="Times New Roman" w:hAnsi="Times New Roman" w:cs="Times New Roman"/>
          <w:i/>
        </w:rPr>
      </w:pPr>
    </w:p>
    <w:p w14:paraId="09A97E10" w14:textId="1DCA050E" w:rsidR="00A95E1E" w:rsidRPr="008C5374" w:rsidRDefault="00CE11BC">
      <w:pPr>
        <w:pStyle w:val="Heading1"/>
        <w:spacing w:before="186" w:line="276" w:lineRule="auto"/>
        <w:ind w:right="367"/>
        <w:rPr>
          <w:rFonts w:cs="Times New Roman"/>
          <w:b w:val="0"/>
          <w:bCs w:val="0"/>
        </w:rPr>
      </w:pPr>
      <w:r w:rsidRPr="008C5374">
        <w:rPr>
          <w:rFonts w:cs="Times New Roman"/>
        </w:rPr>
        <w:t xml:space="preserve">Q6. Arvestades, et </w:t>
      </w:r>
      <w:r w:rsidR="00956270" w:rsidRPr="008C5374">
        <w:rPr>
          <w:rFonts w:cs="Times New Roman"/>
        </w:rPr>
        <w:t>EPPO</w:t>
      </w:r>
      <w:r w:rsidRPr="008C5374">
        <w:rPr>
          <w:rFonts w:cs="Times New Roman"/>
        </w:rPr>
        <w:t xml:space="preserve"> on algatanud liikmesriikide A ja B siseriiklikud juurdlused: millises liikmesriigis peaks </w:t>
      </w:r>
      <w:r w:rsidR="00956270" w:rsidRPr="008C5374">
        <w:rPr>
          <w:rFonts w:cs="Times New Roman"/>
        </w:rPr>
        <w:t>EPPO</w:t>
      </w:r>
      <w:r w:rsidRPr="008C5374">
        <w:rPr>
          <w:rFonts w:cs="Times New Roman"/>
        </w:rPr>
        <w:t xml:space="preserve"> algatama oma uurimise?</w:t>
      </w:r>
    </w:p>
    <w:p w14:paraId="4655ED3A" w14:textId="77777777" w:rsidR="00A95E1E" w:rsidRPr="008C5374" w:rsidRDefault="00A95E1E">
      <w:pPr>
        <w:rPr>
          <w:rFonts w:ascii="Times New Roman" w:eastAsia="Times New Roman" w:hAnsi="Times New Roman" w:cs="Times New Roman"/>
          <w:b/>
          <w:bCs/>
          <w:sz w:val="24"/>
          <w:szCs w:val="24"/>
        </w:rPr>
      </w:pPr>
    </w:p>
    <w:p w14:paraId="697A937F" w14:textId="77777777" w:rsidR="00A95E1E" w:rsidRPr="008C5374" w:rsidRDefault="00CE11BC">
      <w:pPr>
        <w:spacing w:before="183"/>
        <w:ind w:left="230"/>
        <w:jc w:val="both"/>
        <w:rPr>
          <w:rFonts w:ascii="Times New Roman" w:eastAsia="Times New Roman" w:hAnsi="Times New Roman" w:cs="Times New Roman"/>
          <w:sz w:val="24"/>
          <w:szCs w:val="24"/>
        </w:rPr>
      </w:pPr>
      <w:r w:rsidRPr="008C5374">
        <w:rPr>
          <w:rFonts w:ascii="Times New Roman" w:hAnsi="Times New Roman" w:cs="Times New Roman"/>
          <w:i/>
          <w:sz w:val="24"/>
        </w:rPr>
        <w:t>Märkus koolitajale:</w:t>
      </w:r>
    </w:p>
    <w:p w14:paraId="1E796FA4" w14:textId="35100F7C" w:rsidR="00A95E1E" w:rsidRPr="008C5374" w:rsidRDefault="00CE11BC">
      <w:pPr>
        <w:spacing w:before="50" w:line="276" w:lineRule="auto"/>
        <w:ind w:left="230" w:right="369"/>
        <w:jc w:val="both"/>
        <w:rPr>
          <w:rFonts w:ascii="Times New Roman" w:eastAsia="Times New Roman" w:hAnsi="Times New Roman" w:cs="Times New Roman"/>
          <w:sz w:val="24"/>
          <w:szCs w:val="24"/>
        </w:rPr>
      </w:pPr>
      <w:r w:rsidRPr="008C5374">
        <w:rPr>
          <w:rFonts w:ascii="Times New Roman" w:hAnsi="Times New Roman" w:cs="Times New Roman"/>
          <w:i/>
          <w:sz w:val="24"/>
          <w:szCs w:val="24"/>
        </w:rPr>
        <w:t xml:space="preserve">Selle osa eesmärk on arutada juhtumi rahvusvahelist mõõdet ja küsimust, kas </w:t>
      </w:r>
      <w:r w:rsidR="00956270" w:rsidRPr="008C5374">
        <w:rPr>
          <w:rFonts w:ascii="Times New Roman" w:hAnsi="Times New Roman" w:cs="Times New Roman"/>
          <w:i/>
          <w:sz w:val="24"/>
          <w:szCs w:val="24"/>
        </w:rPr>
        <w:t>EPPO</w:t>
      </w:r>
      <w:r w:rsidRPr="008C5374">
        <w:rPr>
          <w:rFonts w:ascii="Times New Roman" w:hAnsi="Times New Roman" w:cs="Times New Roman"/>
          <w:i/>
          <w:sz w:val="24"/>
          <w:szCs w:val="24"/>
        </w:rPr>
        <w:t xml:space="preserve"> saab A ja B suhtes algatatud uurimised liita.</w:t>
      </w:r>
      <w:r w:rsidR="00956270" w:rsidRPr="008C5374">
        <w:rPr>
          <w:rFonts w:ascii="Times New Roman" w:hAnsi="Times New Roman" w:cs="Times New Roman"/>
          <w:i/>
          <w:sz w:val="24"/>
          <w:szCs w:val="24"/>
        </w:rPr>
        <w:t xml:space="preserve"> </w:t>
      </w:r>
      <w:r w:rsidRPr="008C5374">
        <w:rPr>
          <w:rFonts w:ascii="Times New Roman" w:hAnsi="Times New Roman" w:cs="Times New Roman"/>
          <w:i/>
          <w:sz w:val="24"/>
          <w:szCs w:val="24"/>
        </w:rPr>
        <w:t xml:space="preserve">Osalejad peaksid lähemalt süvenema küsimusse, millises liikmesriigis võiks vastav menetlus toimuda. Arvesse tuleks võtta </w:t>
      </w:r>
      <w:r w:rsidR="00956270" w:rsidRPr="008C5374">
        <w:rPr>
          <w:rFonts w:ascii="Times New Roman" w:hAnsi="Times New Roman" w:cs="Times New Roman"/>
          <w:i/>
          <w:sz w:val="24"/>
          <w:szCs w:val="24"/>
        </w:rPr>
        <w:t>EPPO</w:t>
      </w:r>
      <w:r w:rsidRPr="008C5374">
        <w:rPr>
          <w:rFonts w:ascii="Times New Roman" w:hAnsi="Times New Roman" w:cs="Times New Roman"/>
          <w:i/>
          <w:sz w:val="24"/>
          <w:szCs w:val="24"/>
        </w:rPr>
        <w:t xml:space="preserve"> määruse artikli 26 lõikeid 4 ja 5.</w:t>
      </w:r>
    </w:p>
    <w:p w14:paraId="33BCADC3" w14:textId="77777777" w:rsidR="00A95E1E" w:rsidRPr="008C5374" w:rsidRDefault="00A95E1E">
      <w:pPr>
        <w:rPr>
          <w:rFonts w:ascii="Times New Roman" w:eastAsia="Times New Roman" w:hAnsi="Times New Roman" w:cs="Times New Roman"/>
          <w:i/>
          <w:sz w:val="24"/>
          <w:szCs w:val="24"/>
        </w:rPr>
      </w:pPr>
    </w:p>
    <w:p w14:paraId="6862DABE" w14:textId="77777777" w:rsidR="00A95E1E" w:rsidRPr="008C5374" w:rsidRDefault="00A95E1E">
      <w:pPr>
        <w:spacing w:before="6"/>
        <w:rPr>
          <w:rFonts w:ascii="Times New Roman" w:eastAsia="Times New Roman" w:hAnsi="Times New Roman" w:cs="Times New Roman"/>
          <w:i/>
          <w:sz w:val="32"/>
          <w:szCs w:val="32"/>
        </w:rPr>
      </w:pPr>
    </w:p>
    <w:p w14:paraId="336EA11D" w14:textId="77777777" w:rsidR="00A95E1E" w:rsidRPr="008C5374" w:rsidRDefault="00CE11BC">
      <w:pPr>
        <w:ind w:left="230"/>
        <w:jc w:val="both"/>
        <w:rPr>
          <w:rFonts w:ascii="Times New Roman" w:eastAsia="Times New Roman" w:hAnsi="Times New Roman" w:cs="Times New Roman"/>
          <w:sz w:val="24"/>
          <w:szCs w:val="24"/>
        </w:rPr>
      </w:pPr>
      <w:r w:rsidRPr="008C5374">
        <w:rPr>
          <w:rFonts w:ascii="Times New Roman" w:hAnsi="Times New Roman" w:cs="Times New Roman"/>
          <w:i/>
          <w:sz w:val="24"/>
        </w:rPr>
        <w:t>Täiendavad märkused:</w:t>
      </w:r>
    </w:p>
    <w:p w14:paraId="36279334" w14:textId="77777777" w:rsidR="00A95E1E" w:rsidRPr="008C5374" w:rsidRDefault="00CE11BC" w:rsidP="00C7351A">
      <w:pPr>
        <w:pStyle w:val="ListParagraph"/>
        <w:numPr>
          <w:ilvl w:val="1"/>
          <w:numId w:val="1"/>
        </w:numPr>
        <w:tabs>
          <w:tab w:val="left" w:pos="1585"/>
        </w:tabs>
        <w:spacing w:before="52" w:line="273" w:lineRule="auto"/>
        <w:ind w:left="1584" w:right="573" w:hanging="450"/>
        <w:jc w:val="both"/>
        <w:rPr>
          <w:rFonts w:ascii="Times New Roman" w:eastAsia="Times New Roman" w:hAnsi="Times New Roman" w:cs="Times New Roman"/>
          <w:sz w:val="24"/>
          <w:szCs w:val="24"/>
        </w:rPr>
      </w:pPr>
      <w:r w:rsidRPr="008C5374">
        <w:rPr>
          <w:rFonts w:ascii="Times New Roman" w:hAnsi="Times New Roman" w:cs="Times New Roman"/>
          <w:i/>
          <w:sz w:val="24"/>
        </w:rPr>
        <w:t>Põhimõtteliselt puudutab see rohkem kui ühe liikmesriigi jurisdiktsiooni. Võimalikud menetluse läbiviimise riigid on Belgia (elukohariik) ning liikmesriigid A ja B.</w:t>
      </w:r>
    </w:p>
    <w:p w14:paraId="723BD1CF" w14:textId="77777777" w:rsidR="00C7351A" w:rsidRPr="00C7351A" w:rsidRDefault="00CE11BC" w:rsidP="008C5374">
      <w:pPr>
        <w:pStyle w:val="ListParagraph"/>
        <w:numPr>
          <w:ilvl w:val="0"/>
          <w:numId w:val="2"/>
        </w:numPr>
        <w:tabs>
          <w:tab w:val="left" w:pos="1585"/>
        </w:tabs>
        <w:spacing w:before="42" w:line="273" w:lineRule="auto"/>
        <w:ind w:right="510" w:hanging="338"/>
        <w:jc w:val="both"/>
        <w:rPr>
          <w:rFonts w:ascii="Times New Roman" w:eastAsia="Times New Roman" w:hAnsi="Times New Roman" w:cs="Times New Roman"/>
          <w:sz w:val="24"/>
          <w:szCs w:val="24"/>
        </w:rPr>
      </w:pPr>
      <w:r w:rsidRPr="008C5374">
        <w:rPr>
          <w:rFonts w:ascii="Times New Roman" w:hAnsi="Times New Roman" w:cs="Times New Roman"/>
          <w:i/>
          <w:sz w:val="24"/>
          <w:szCs w:val="24"/>
        </w:rPr>
        <w:t xml:space="preserve">Alaline koda võib otsustada liita artikli 26 lõike 5 kohased uurimised vastavalt </w:t>
      </w:r>
      <w:r w:rsidR="00956270" w:rsidRPr="008C5374">
        <w:rPr>
          <w:rFonts w:ascii="Times New Roman" w:hAnsi="Times New Roman" w:cs="Times New Roman"/>
          <w:i/>
          <w:sz w:val="24"/>
          <w:szCs w:val="24"/>
        </w:rPr>
        <w:t>EPPO</w:t>
      </w:r>
      <w:r w:rsidRPr="008C5374">
        <w:rPr>
          <w:rFonts w:ascii="Times New Roman" w:hAnsi="Times New Roman" w:cs="Times New Roman"/>
          <w:i/>
          <w:sz w:val="24"/>
          <w:szCs w:val="24"/>
        </w:rPr>
        <w:t xml:space="preserve"> määruse lõikele 4. Kui kõne alla saab tulla rohkem kui üks alaline koda, tuleks pädev alaline koda kindlaks määrata kodukorraga.</w:t>
      </w:r>
    </w:p>
    <w:p w14:paraId="1A00DC3D" w14:textId="642B7531" w:rsidR="00A95E1E" w:rsidRPr="008C5374" w:rsidRDefault="00CE11BC" w:rsidP="008C5374">
      <w:pPr>
        <w:pStyle w:val="ListParagraph"/>
        <w:numPr>
          <w:ilvl w:val="0"/>
          <w:numId w:val="2"/>
        </w:numPr>
        <w:tabs>
          <w:tab w:val="left" w:pos="1585"/>
        </w:tabs>
        <w:spacing w:before="42" w:line="273" w:lineRule="auto"/>
        <w:ind w:right="510" w:hanging="338"/>
        <w:jc w:val="both"/>
        <w:rPr>
          <w:rFonts w:ascii="Times New Roman" w:eastAsia="Times New Roman" w:hAnsi="Times New Roman" w:cs="Times New Roman"/>
          <w:sz w:val="24"/>
          <w:szCs w:val="24"/>
        </w:rPr>
      </w:pPr>
      <w:r w:rsidRPr="008C5374">
        <w:rPr>
          <w:rFonts w:ascii="Times New Roman" w:hAnsi="Times New Roman" w:cs="Times New Roman"/>
          <w:i/>
          <w:sz w:val="24"/>
          <w:szCs w:val="24"/>
        </w:rPr>
        <w:t>Kuritegeliku tegevuse kese on suure tõenäosusega Londonis. Võib tekkida arutelu, kas Brüssel on samuti süütegude kese. Lisaks ei ole liikmesriiki, kus toime pandud kuritegude hulk oleks kõige suurem.</w:t>
      </w:r>
    </w:p>
    <w:p w14:paraId="2E0DC955" w14:textId="0188940B" w:rsidR="00A95E1E" w:rsidRPr="008C5374" w:rsidRDefault="00CE11BC">
      <w:pPr>
        <w:pStyle w:val="ListParagraph"/>
        <w:numPr>
          <w:ilvl w:val="0"/>
          <w:numId w:val="2"/>
        </w:numPr>
        <w:tabs>
          <w:tab w:val="left" w:pos="1485"/>
        </w:tabs>
        <w:spacing w:before="8" w:line="276" w:lineRule="auto"/>
        <w:ind w:right="297" w:hanging="338"/>
        <w:jc w:val="both"/>
        <w:rPr>
          <w:rFonts w:ascii="Times New Roman" w:eastAsia="Times New Roman" w:hAnsi="Times New Roman" w:cs="Times New Roman"/>
          <w:sz w:val="24"/>
          <w:szCs w:val="24"/>
        </w:rPr>
      </w:pPr>
      <w:r w:rsidRPr="008C5374">
        <w:rPr>
          <w:rFonts w:ascii="Times New Roman" w:hAnsi="Times New Roman" w:cs="Times New Roman"/>
          <w:i/>
          <w:sz w:val="24"/>
          <w:szCs w:val="24"/>
        </w:rPr>
        <w:t>Alaline koda võib otsustada, et uurimine peaks toimuma Belgias kui „kahtlustatava või süüdistatava alalises elukohas” (</w:t>
      </w:r>
      <w:r w:rsidR="00956270" w:rsidRPr="008C5374">
        <w:rPr>
          <w:rFonts w:ascii="Times New Roman" w:hAnsi="Times New Roman" w:cs="Times New Roman"/>
          <w:i/>
          <w:sz w:val="24"/>
          <w:szCs w:val="24"/>
        </w:rPr>
        <w:t>EPPO</w:t>
      </w:r>
      <w:r w:rsidRPr="008C5374">
        <w:rPr>
          <w:rFonts w:ascii="Times New Roman" w:hAnsi="Times New Roman" w:cs="Times New Roman"/>
          <w:i/>
          <w:sz w:val="24"/>
          <w:szCs w:val="24"/>
        </w:rPr>
        <w:t xml:space="preserve"> määruse artikli 26 lõike 4 punkt a). Kolleegium peab aga arvestama, et </w:t>
      </w:r>
      <w:r w:rsidR="00C7351A">
        <w:rPr>
          <w:rFonts w:ascii="Times New Roman" w:hAnsi="Times New Roman" w:cs="Times New Roman"/>
          <w:i/>
          <w:sz w:val="24"/>
          <w:szCs w:val="24"/>
        </w:rPr>
        <w:t xml:space="preserve">on </w:t>
      </w:r>
      <w:r w:rsidRPr="008C5374">
        <w:rPr>
          <w:rFonts w:ascii="Times New Roman" w:hAnsi="Times New Roman" w:cs="Times New Roman"/>
          <w:i/>
          <w:sz w:val="24"/>
          <w:szCs w:val="24"/>
        </w:rPr>
        <w:t>võimalik, et Belgial ei pruugi olla juhtumite jaoks kohtualluvust, kuna kuritegu pandi toime väljaspool Belgia territooriumi (Ühendkuningriigis) ning nii A kui ka B ei ole Belgia kodanikud (nt Austrial ei oleks sellistel juhtudel kohtualluvust). Seetõttu võib alaline koda otsustada ka uurimisi mitte liita ning anda liikmesriikide A ja B Euroopa delegaatprokuröridele ülesandeks algatada eraldi juurdlused.</w:t>
      </w:r>
    </w:p>
    <w:sectPr w:rsidR="00A95E1E" w:rsidRPr="008C5374">
      <w:footerReference w:type="default" r:id="rId7"/>
      <w:pgSz w:w="12240" w:h="15840"/>
      <w:pgMar w:top="1260" w:right="1600" w:bottom="1160" w:left="1720" w:header="0" w:footer="9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AE979" w14:textId="77777777" w:rsidR="00CE11BC" w:rsidRDefault="00CE11BC">
      <w:r>
        <w:separator/>
      </w:r>
    </w:p>
  </w:endnote>
  <w:endnote w:type="continuationSeparator" w:id="0">
    <w:p w14:paraId="5BB3F299" w14:textId="77777777" w:rsidR="00CE11BC" w:rsidRDefault="00CE1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6118D" w14:textId="77777777" w:rsidR="00A95E1E" w:rsidRDefault="00C7351A">
    <w:pPr>
      <w:spacing w:line="14" w:lineRule="auto"/>
      <w:rPr>
        <w:sz w:val="20"/>
        <w:szCs w:val="20"/>
      </w:rPr>
    </w:pPr>
    <w:r>
      <w:pict w14:anchorId="21909565">
        <v:shapetype id="_x0000_t202" coordsize="21600,21600" o:spt="202" path="m,l,21600r21600,l21600,xe">
          <v:stroke joinstyle="miter"/>
          <v:path gradientshapeok="t" o:connecttype="rect"/>
        </v:shapetype>
        <v:shape id="1147" o:spid="_x0000_s1025" type="#_x0000_t202" style="position:absolute;margin-left:518.65pt;margin-top:732.05pt;width:9.6pt;height:13.05pt;z-index:-251658752;mso-position-horizontal-relative:page;mso-position-vertical-relative:page" filled="f" stroked="f">
          <v:textbox inset="0,0,0,0">
            <w:txbxContent>
              <w:p w14:paraId="4AFB7D1D" w14:textId="77777777" w:rsidR="00A95E1E" w:rsidRDefault="00CE11BC">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4A055" w14:textId="77777777" w:rsidR="00CE11BC" w:rsidRDefault="00CE11BC">
      <w:r>
        <w:separator/>
      </w:r>
    </w:p>
  </w:footnote>
  <w:footnote w:type="continuationSeparator" w:id="0">
    <w:p w14:paraId="3A996DB6" w14:textId="77777777" w:rsidR="00CE11BC" w:rsidRDefault="00CE11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E14B3"/>
    <w:multiLevelType w:val="hybridMultilevel"/>
    <w:tmpl w:val="88B03252"/>
    <w:lvl w:ilvl="0" w:tplc="FB049266">
      <w:start w:val="1"/>
      <w:numFmt w:val="bullet"/>
      <w:lvlText w:val=""/>
      <w:lvlJc w:val="left"/>
      <w:pPr>
        <w:ind w:left="900" w:hanging="334"/>
      </w:pPr>
      <w:rPr>
        <w:rFonts w:ascii="Symbol" w:eastAsia="Symbol" w:hAnsi="Symbol" w:hint="default"/>
        <w:color w:val="003781"/>
        <w:w w:val="80"/>
        <w:sz w:val="24"/>
        <w:szCs w:val="24"/>
      </w:rPr>
    </w:lvl>
    <w:lvl w:ilvl="1" w:tplc="BD108E90">
      <w:start w:val="1"/>
      <w:numFmt w:val="bullet"/>
      <w:lvlText w:val=""/>
      <w:lvlJc w:val="left"/>
      <w:pPr>
        <w:ind w:left="1627" w:hanging="360"/>
      </w:pPr>
      <w:rPr>
        <w:rFonts w:ascii="Symbol" w:eastAsia="Symbol" w:hAnsi="Symbol" w:hint="default"/>
        <w:color w:val="003781"/>
        <w:sz w:val="24"/>
        <w:szCs w:val="24"/>
      </w:rPr>
    </w:lvl>
    <w:lvl w:ilvl="2" w:tplc="BBF2B37E">
      <w:start w:val="1"/>
      <w:numFmt w:val="bullet"/>
      <w:lvlText w:val="•"/>
      <w:lvlJc w:val="left"/>
      <w:pPr>
        <w:ind w:left="2442" w:hanging="360"/>
      </w:pPr>
      <w:rPr>
        <w:rFonts w:hint="default"/>
      </w:rPr>
    </w:lvl>
    <w:lvl w:ilvl="3" w:tplc="9F783C2C">
      <w:start w:val="1"/>
      <w:numFmt w:val="bullet"/>
      <w:lvlText w:val="•"/>
      <w:lvlJc w:val="left"/>
      <w:pPr>
        <w:ind w:left="3264" w:hanging="360"/>
      </w:pPr>
      <w:rPr>
        <w:rFonts w:hint="default"/>
      </w:rPr>
    </w:lvl>
    <w:lvl w:ilvl="4" w:tplc="B6A0850C">
      <w:start w:val="1"/>
      <w:numFmt w:val="bullet"/>
      <w:lvlText w:val="•"/>
      <w:lvlJc w:val="left"/>
      <w:pPr>
        <w:ind w:left="4086" w:hanging="360"/>
      </w:pPr>
      <w:rPr>
        <w:rFonts w:hint="default"/>
      </w:rPr>
    </w:lvl>
    <w:lvl w:ilvl="5" w:tplc="B89E3A52">
      <w:start w:val="1"/>
      <w:numFmt w:val="bullet"/>
      <w:lvlText w:val="•"/>
      <w:lvlJc w:val="left"/>
      <w:pPr>
        <w:ind w:left="4908" w:hanging="360"/>
      </w:pPr>
      <w:rPr>
        <w:rFonts w:hint="default"/>
      </w:rPr>
    </w:lvl>
    <w:lvl w:ilvl="6" w:tplc="AAA2A674">
      <w:start w:val="1"/>
      <w:numFmt w:val="bullet"/>
      <w:lvlText w:val="•"/>
      <w:lvlJc w:val="left"/>
      <w:pPr>
        <w:ind w:left="5731" w:hanging="360"/>
      </w:pPr>
      <w:rPr>
        <w:rFonts w:hint="default"/>
      </w:rPr>
    </w:lvl>
    <w:lvl w:ilvl="7" w:tplc="5DB696DE">
      <w:start w:val="1"/>
      <w:numFmt w:val="bullet"/>
      <w:lvlText w:val="•"/>
      <w:lvlJc w:val="left"/>
      <w:pPr>
        <w:ind w:left="6553" w:hanging="360"/>
      </w:pPr>
      <w:rPr>
        <w:rFonts w:hint="default"/>
      </w:rPr>
    </w:lvl>
    <w:lvl w:ilvl="8" w:tplc="4D926C66">
      <w:start w:val="1"/>
      <w:numFmt w:val="bullet"/>
      <w:lvlText w:val="•"/>
      <w:lvlJc w:val="left"/>
      <w:pPr>
        <w:ind w:left="7375" w:hanging="360"/>
      </w:pPr>
      <w:rPr>
        <w:rFonts w:hint="default"/>
      </w:rPr>
    </w:lvl>
  </w:abstractNum>
  <w:abstractNum w:abstractNumId="1" w15:restartNumberingAfterBreak="0">
    <w:nsid w:val="138504C9"/>
    <w:multiLevelType w:val="hybridMultilevel"/>
    <w:tmpl w:val="698EE862"/>
    <w:lvl w:ilvl="0" w:tplc="7B4233A2">
      <w:start w:val="1"/>
      <w:numFmt w:val="bullet"/>
      <w:lvlText w:val=""/>
      <w:lvlJc w:val="left"/>
      <w:pPr>
        <w:ind w:left="1484" w:hanging="339"/>
      </w:pPr>
      <w:rPr>
        <w:rFonts w:ascii="Symbol" w:eastAsia="Symbol" w:hAnsi="Symbol" w:hint="default"/>
        <w:color w:val="003781"/>
        <w:w w:val="80"/>
        <w:sz w:val="24"/>
        <w:szCs w:val="24"/>
      </w:rPr>
    </w:lvl>
    <w:lvl w:ilvl="1" w:tplc="2B20D12A">
      <w:start w:val="1"/>
      <w:numFmt w:val="bullet"/>
      <w:lvlText w:val="•"/>
      <w:lvlJc w:val="left"/>
      <w:pPr>
        <w:ind w:left="2224" w:hanging="339"/>
      </w:pPr>
      <w:rPr>
        <w:rFonts w:hint="default"/>
      </w:rPr>
    </w:lvl>
    <w:lvl w:ilvl="2" w:tplc="F530FAF8">
      <w:start w:val="1"/>
      <w:numFmt w:val="bullet"/>
      <w:lvlText w:val="•"/>
      <w:lvlJc w:val="left"/>
      <w:pPr>
        <w:ind w:left="2968" w:hanging="339"/>
      </w:pPr>
      <w:rPr>
        <w:rFonts w:hint="default"/>
      </w:rPr>
    </w:lvl>
    <w:lvl w:ilvl="3" w:tplc="8F86ABBE">
      <w:start w:val="1"/>
      <w:numFmt w:val="bullet"/>
      <w:lvlText w:val="•"/>
      <w:lvlJc w:val="left"/>
      <w:pPr>
        <w:ind w:left="3712" w:hanging="339"/>
      </w:pPr>
      <w:rPr>
        <w:rFonts w:hint="default"/>
      </w:rPr>
    </w:lvl>
    <w:lvl w:ilvl="4" w:tplc="264EDA6A">
      <w:start w:val="1"/>
      <w:numFmt w:val="bullet"/>
      <w:lvlText w:val="•"/>
      <w:lvlJc w:val="left"/>
      <w:pPr>
        <w:ind w:left="4456" w:hanging="339"/>
      </w:pPr>
      <w:rPr>
        <w:rFonts w:hint="default"/>
      </w:rPr>
    </w:lvl>
    <w:lvl w:ilvl="5" w:tplc="B03451F8">
      <w:start w:val="1"/>
      <w:numFmt w:val="bullet"/>
      <w:lvlText w:val="•"/>
      <w:lvlJc w:val="left"/>
      <w:pPr>
        <w:ind w:left="5200" w:hanging="339"/>
      </w:pPr>
      <w:rPr>
        <w:rFonts w:hint="default"/>
      </w:rPr>
    </w:lvl>
    <w:lvl w:ilvl="6" w:tplc="2A508770">
      <w:start w:val="1"/>
      <w:numFmt w:val="bullet"/>
      <w:lvlText w:val="•"/>
      <w:lvlJc w:val="left"/>
      <w:pPr>
        <w:ind w:left="5944" w:hanging="339"/>
      </w:pPr>
      <w:rPr>
        <w:rFonts w:hint="default"/>
      </w:rPr>
    </w:lvl>
    <w:lvl w:ilvl="7" w:tplc="64F8EA8E">
      <w:start w:val="1"/>
      <w:numFmt w:val="bullet"/>
      <w:lvlText w:val="•"/>
      <w:lvlJc w:val="left"/>
      <w:pPr>
        <w:ind w:left="6688" w:hanging="339"/>
      </w:pPr>
      <w:rPr>
        <w:rFonts w:hint="default"/>
      </w:rPr>
    </w:lvl>
    <w:lvl w:ilvl="8" w:tplc="D9B8F340">
      <w:start w:val="1"/>
      <w:numFmt w:val="bullet"/>
      <w:lvlText w:val="•"/>
      <w:lvlJc w:val="left"/>
      <w:pPr>
        <w:ind w:left="7432" w:hanging="339"/>
      </w:pPr>
      <w:rPr>
        <w:rFonts w:hint="default"/>
      </w:rPr>
    </w:lvl>
  </w:abstractNum>
  <w:abstractNum w:abstractNumId="2" w15:restartNumberingAfterBreak="0">
    <w:nsid w:val="13C47FBF"/>
    <w:multiLevelType w:val="hybridMultilevel"/>
    <w:tmpl w:val="440CD5BA"/>
    <w:lvl w:ilvl="0" w:tplc="EA74ECB4">
      <w:start w:val="1"/>
      <w:numFmt w:val="bullet"/>
      <w:lvlText w:val=""/>
      <w:lvlJc w:val="left"/>
      <w:pPr>
        <w:ind w:left="907" w:hanging="339"/>
      </w:pPr>
      <w:rPr>
        <w:rFonts w:ascii="Symbol" w:eastAsia="Symbol" w:hAnsi="Symbol" w:hint="default"/>
        <w:color w:val="003781"/>
        <w:w w:val="80"/>
        <w:sz w:val="24"/>
        <w:szCs w:val="24"/>
      </w:rPr>
    </w:lvl>
    <w:lvl w:ilvl="1" w:tplc="68C00A08">
      <w:start w:val="1"/>
      <w:numFmt w:val="bullet"/>
      <w:lvlText w:val="•"/>
      <w:lvlJc w:val="left"/>
      <w:pPr>
        <w:ind w:left="1712" w:hanging="339"/>
      </w:pPr>
      <w:rPr>
        <w:rFonts w:hint="default"/>
      </w:rPr>
    </w:lvl>
    <w:lvl w:ilvl="2" w:tplc="3CFC0898">
      <w:start w:val="1"/>
      <w:numFmt w:val="bullet"/>
      <w:lvlText w:val="•"/>
      <w:lvlJc w:val="left"/>
      <w:pPr>
        <w:ind w:left="2524" w:hanging="339"/>
      </w:pPr>
      <w:rPr>
        <w:rFonts w:hint="default"/>
      </w:rPr>
    </w:lvl>
    <w:lvl w:ilvl="3" w:tplc="0EBC9558">
      <w:start w:val="1"/>
      <w:numFmt w:val="bullet"/>
      <w:lvlText w:val="•"/>
      <w:lvlJc w:val="left"/>
      <w:pPr>
        <w:ind w:left="3336" w:hanging="339"/>
      </w:pPr>
      <w:rPr>
        <w:rFonts w:hint="default"/>
      </w:rPr>
    </w:lvl>
    <w:lvl w:ilvl="4" w:tplc="C72A0E36">
      <w:start w:val="1"/>
      <w:numFmt w:val="bullet"/>
      <w:lvlText w:val="•"/>
      <w:lvlJc w:val="left"/>
      <w:pPr>
        <w:ind w:left="4148" w:hanging="339"/>
      </w:pPr>
      <w:rPr>
        <w:rFonts w:hint="default"/>
      </w:rPr>
    </w:lvl>
    <w:lvl w:ilvl="5" w:tplc="725CBF5C">
      <w:start w:val="1"/>
      <w:numFmt w:val="bullet"/>
      <w:lvlText w:val="•"/>
      <w:lvlJc w:val="left"/>
      <w:pPr>
        <w:ind w:left="4960" w:hanging="339"/>
      </w:pPr>
      <w:rPr>
        <w:rFonts w:hint="default"/>
      </w:rPr>
    </w:lvl>
    <w:lvl w:ilvl="6" w:tplc="B26EC026">
      <w:start w:val="1"/>
      <w:numFmt w:val="bullet"/>
      <w:lvlText w:val="•"/>
      <w:lvlJc w:val="left"/>
      <w:pPr>
        <w:ind w:left="5772" w:hanging="339"/>
      </w:pPr>
      <w:rPr>
        <w:rFonts w:hint="default"/>
      </w:rPr>
    </w:lvl>
    <w:lvl w:ilvl="7" w:tplc="1B74B6D6">
      <w:start w:val="1"/>
      <w:numFmt w:val="bullet"/>
      <w:lvlText w:val="•"/>
      <w:lvlJc w:val="left"/>
      <w:pPr>
        <w:ind w:left="6584" w:hanging="339"/>
      </w:pPr>
      <w:rPr>
        <w:rFonts w:hint="default"/>
      </w:rPr>
    </w:lvl>
    <w:lvl w:ilvl="8" w:tplc="9D94D9B4">
      <w:start w:val="1"/>
      <w:numFmt w:val="bullet"/>
      <w:lvlText w:val="•"/>
      <w:lvlJc w:val="left"/>
      <w:pPr>
        <w:ind w:left="7396" w:hanging="339"/>
      </w:pPr>
      <w:rPr>
        <w:rFonts w:hint="default"/>
      </w:rPr>
    </w:lvl>
  </w:abstractNum>
  <w:abstractNum w:abstractNumId="3" w15:restartNumberingAfterBreak="0">
    <w:nsid w:val="2A1824EC"/>
    <w:multiLevelType w:val="hybridMultilevel"/>
    <w:tmpl w:val="3F0614D4"/>
    <w:lvl w:ilvl="0" w:tplc="588E9BB2">
      <w:start w:val="1"/>
      <w:numFmt w:val="bullet"/>
      <w:lvlText w:val=""/>
      <w:lvlJc w:val="left"/>
      <w:pPr>
        <w:ind w:left="1027" w:hanging="339"/>
      </w:pPr>
      <w:rPr>
        <w:rFonts w:ascii="Symbol" w:eastAsia="Symbol" w:hAnsi="Symbol" w:hint="default"/>
        <w:w w:val="101"/>
        <w:sz w:val="20"/>
        <w:szCs w:val="20"/>
      </w:rPr>
    </w:lvl>
    <w:lvl w:ilvl="1" w:tplc="94E21E78">
      <w:start w:val="1"/>
      <w:numFmt w:val="bullet"/>
      <w:lvlText w:val="•"/>
      <w:lvlJc w:val="left"/>
      <w:pPr>
        <w:ind w:left="1842" w:hanging="339"/>
      </w:pPr>
      <w:rPr>
        <w:rFonts w:hint="default"/>
      </w:rPr>
    </w:lvl>
    <w:lvl w:ilvl="2" w:tplc="3A924DB0">
      <w:start w:val="1"/>
      <w:numFmt w:val="bullet"/>
      <w:lvlText w:val="•"/>
      <w:lvlJc w:val="left"/>
      <w:pPr>
        <w:ind w:left="2664" w:hanging="339"/>
      </w:pPr>
      <w:rPr>
        <w:rFonts w:hint="default"/>
      </w:rPr>
    </w:lvl>
    <w:lvl w:ilvl="3" w:tplc="CE24BCE8">
      <w:start w:val="1"/>
      <w:numFmt w:val="bullet"/>
      <w:lvlText w:val="•"/>
      <w:lvlJc w:val="left"/>
      <w:pPr>
        <w:ind w:left="3486" w:hanging="339"/>
      </w:pPr>
      <w:rPr>
        <w:rFonts w:hint="default"/>
      </w:rPr>
    </w:lvl>
    <w:lvl w:ilvl="4" w:tplc="C680BEA0">
      <w:start w:val="1"/>
      <w:numFmt w:val="bullet"/>
      <w:lvlText w:val="•"/>
      <w:lvlJc w:val="left"/>
      <w:pPr>
        <w:ind w:left="4308" w:hanging="339"/>
      </w:pPr>
      <w:rPr>
        <w:rFonts w:hint="default"/>
      </w:rPr>
    </w:lvl>
    <w:lvl w:ilvl="5" w:tplc="7FEABFDE">
      <w:start w:val="1"/>
      <w:numFmt w:val="bullet"/>
      <w:lvlText w:val="•"/>
      <w:lvlJc w:val="left"/>
      <w:pPr>
        <w:ind w:left="5130" w:hanging="339"/>
      </w:pPr>
      <w:rPr>
        <w:rFonts w:hint="default"/>
      </w:rPr>
    </w:lvl>
    <w:lvl w:ilvl="6" w:tplc="3B6861A8">
      <w:start w:val="1"/>
      <w:numFmt w:val="bullet"/>
      <w:lvlText w:val="•"/>
      <w:lvlJc w:val="left"/>
      <w:pPr>
        <w:ind w:left="5952" w:hanging="339"/>
      </w:pPr>
      <w:rPr>
        <w:rFonts w:hint="default"/>
      </w:rPr>
    </w:lvl>
    <w:lvl w:ilvl="7" w:tplc="BD920044">
      <w:start w:val="1"/>
      <w:numFmt w:val="bullet"/>
      <w:lvlText w:val="•"/>
      <w:lvlJc w:val="left"/>
      <w:pPr>
        <w:ind w:left="6774" w:hanging="339"/>
      </w:pPr>
      <w:rPr>
        <w:rFonts w:hint="default"/>
      </w:rPr>
    </w:lvl>
    <w:lvl w:ilvl="8" w:tplc="79983CC8">
      <w:start w:val="1"/>
      <w:numFmt w:val="bullet"/>
      <w:lvlText w:val="•"/>
      <w:lvlJc w:val="left"/>
      <w:pPr>
        <w:ind w:left="7596" w:hanging="339"/>
      </w:pPr>
      <w:rPr>
        <w:rFonts w:hint="default"/>
      </w:rPr>
    </w:lvl>
  </w:abstractNum>
  <w:abstractNum w:abstractNumId="4" w15:restartNumberingAfterBreak="0">
    <w:nsid w:val="54F22094"/>
    <w:multiLevelType w:val="hybridMultilevel"/>
    <w:tmpl w:val="FCF4A08A"/>
    <w:lvl w:ilvl="0" w:tplc="6B50653E">
      <w:start w:val="1"/>
      <w:numFmt w:val="bullet"/>
      <w:lvlText w:val=""/>
      <w:lvlJc w:val="left"/>
      <w:pPr>
        <w:ind w:left="569" w:hanging="339"/>
      </w:pPr>
      <w:rPr>
        <w:rFonts w:ascii="Symbol" w:eastAsia="Symbol" w:hAnsi="Symbol" w:hint="default"/>
        <w:color w:val="003781"/>
        <w:w w:val="80"/>
        <w:sz w:val="24"/>
        <w:szCs w:val="24"/>
      </w:rPr>
    </w:lvl>
    <w:lvl w:ilvl="1" w:tplc="683AD778">
      <w:start w:val="1"/>
      <w:numFmt w:val="bullet"/>
      <w:lvlText w:val=""/>
      <w:lvlJc w:val="left"/>
      <w:pPr>
        <w:ind w:left="101" w:hanging="339"/>
      </w:pPr>
      <w:rPr>
        <w:rFonts w:ascii="Symbol" w:eastAsia="Symbol" w:hAnsi="Symbol" w:hint="default"/>
        <w:b/>
        <w:bCs/>
        <w:w w:val="100"/>
        <w:sz w:val="22"/>
        <w:szCs w:val="22"/>
      </w:rPr>
    </w:lvl>
    <w:lvl w:ilvl="2" w:tplc="AAAC06B2">
      <w:start w:val="1"/>
      <w:numFmt w:val="bullet"/>
      <w:lvlText w:val="•"/>
      <w:lvlJc w:val="left"/>
      <w:pPr>
        <w:ind w:left="1500" w:hanging="339"/>
      </w:pPr>
      <w:rPr>
        <w:rFonts w:hint="default"/>
      </w:rPr>
    </w:lvl>
    <w:lvl w:ilvl="3" w:tplc="236EB640">
      <w:start w:val="1"/>
      <w:numFmt w:val="bullet"/>
      <w:lvlText w:val="•"/>
      <w:lvlJc w:val="left"/>
      <w:pPr>
        <w:ind w:left="2440" w:hanging="339"/>
      </w:pPr>
      <w:rPr>
        <w:rFonts w:hint="default"/>
      </w:rPr>
    </w:lvl>
    <w:lvl w:ilvl="4" w:tplc="2C74D2BA">
      <w:start w:val="1"/>
      <w:numFmt w:val="bullet"/>
      <w:lvlText w:val="•"/>
      <w:lvlJc w:val="left"/>
      <w:pPr>
        <w:ind w:left="3380" w:hanging="339"/>
      </w:pPr>
      <w:rPr>
        <w:rFonts w:hint="default"/>
      </w:rPr>
    </w:lvl>
    <w:lvl w:ilvl="5" w:tplc="DB6C6CA8">
      <w:start w:val="1"/>
      <w:numFmt w:val="bullet"/>
      <w:lvlText w:val="•"/>
      <w:lvlJc w:val="left"/>
      <w:pPr>
        <w:ind w:left="4320" w:hanging="339"/>
      </w:pPr>
      <w:rPr>
        <w:rFonts w:hint="default"/>
      </w:rPr>
    </w:lvl>
    <w:lvl w:ilvl="6" w:tplc="ED047332">
      <w:start w:val="1"/>
      <w:numFmt w:val="bullet"/>
      <w:lvlText w:val="•"/>
      <w:lvlJc w:val="left"/>
      <w:pPr>
        <w:ind w:left="5260" w:hanging="339"/>
      </w:pPr>
      <w:rPr>
        <w:rFonts w:hint="default"/>
      </w:rPr>
    </w:lvl>
    <w:lvl w:ilvl="7" w:tplc="A5345458">
      <w:start w:val="1"/>
      <w:numFmt w:val="bullet"/>
      <w:lvlText w:val="•"/>
      <w:lvlJc w:val="left"/>
      <w:pPr>
        <w:ind w:left="6200" w:hanging="339"/>
      </w:pPr>
      <w:rPr>
        <w:rFonts w:hint="default"/>
      </w:rPr>
    </w:lvl>
    <w:lvl w:ilvl="8" w:tplc="4A8AED8E">
      <w:start w:val="1"/>
      <w:numFmt w:val="bullet"/>
      <w:lvlText w:val="•"/>
      <w:lvlJc w:val="left"/>
      <w:pPr>
        <w:ind w:left="7140" w:hanging="339"/>
      </w:pPr>
      <w:rPr>
        <w:rFont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425"/>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95E1E"/>
    <w:rsid w:val="006E208E"/>
    <w:rsid w:val="008C5374"/>
    <w:rsid w:val="00956270"/>
    <w:rsid w:val="00A95E1E"/>
    <w:rsid w:val="00BE11F4"/>
    <w:rsid w:val="00C7351A"/>
    <w:rsid w:val="00CE11BC"/>
    <w:rsid w:val="00D86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7B93793"/>
  <w15:docId w15:val="{B388CC72-8355-47C7-84FA-3A59F80D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1"/>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07" w:hanging="338"/>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1492</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Liisa Mets</cp:lastModifiedBy>
  <cp:revision>3</cp:revision>
  <dcterms:created xsi:type="dcterms:W3CDTF">2022-01-18T14:27:00Z</dcterms:created>
  <dcterms:modified xsi:type="dcterms:W3CDTF">2022-02-09T16:46:00Z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2021-06-18T00:00:00Z</vt:filetime>
  </property>
  <property fmtid="{D5CDD505-2E9C-101B-9397-08002B2CF9AE}" pid="3" name="LastSaved">
    <vt:filetime>2022-01-18T00:00:00Z</vt:filetime>
  </property>
</Properties>
</file>